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51C2B"/>
          <w:sz w:val="42"/>
          <w:lang w:val="uk-UA" w:eastAsia="uk-UA" w:bidi="uk-UA"/>
        </w:rPr>
        <w:t>Форма реєстрації постачальника та партнера енергетичного проєкту</w:t>
      </w:r>
    </w:p>
    <w:p>
      <w:pPr>
        <w:pStyle w:val="Subtitle"/>
        <w:spacing w:before="0" w:after="140" w:line="240" w:lineRule="auto"/>
        <w:jc w:val="left"/>
      </w:pPr>
      <w:r>
        <w:rPr>
          <w:rFonts w:ascii="Arial" w:hAnsi="Arial" w:eastAsia="Arial" w:cs="Arial"/>
          <w:color w:val="526577"/>
          <w:sz w:val="19"/>
          <w:lang w:val="uk-UA" w:eastAsia="uk-UA" w:bidi="uk-UA"/>
        </w:rPr>
        <w:t>Кваліфікація OEM, EPC, розробників, інтеграторів і сервісних організацій на основі оцінки ризиків</w:t>
      </w:r>
    </w:p>
    <w:tbl>
      <w:tblPr>
        <w:tblW w:type="dxa" w:w="10106"/>
        <w:jc w:val="center"/>
        <w:tblLayout w:type="fixed"/>
        <w:tblLook w:firstColumn="1" w:firstRow="1" w:lastColumn="0" w:lastRow="0" w:noHBand="0" w:noVBand="1" w:val="04A0"/>
        <w:tblInd w:w="120" w:type="dxa"/>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uk-UA" w:eastAsia="uk-UA" w:bidi="uk-UA"/>
              </w:rPr>
              <w:t>Код документа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OLYE-FRM-ESR-001</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uk-UA" w:eastAsia="uk-UA" w:bidi="uk-UA"/>
              </w:rPr>
              <w:t>Версія / дата набрання чинності</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2.0 / 2 серпня 2026 р.</w:t>
            </w:r>
          </w:p>
        </w:tc>
      </w:tr>
      <w:tr>
        <w:trPr>
          <w:trHeight w:hRule="atLeast"/>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uk-UA" w:eastAsia="uk-UA" w:bidi="uk-UA"/>
              </w:rPr>
              <w:t>Класифікація</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Контрольована ділова форма</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uk-UA" w:eastAsia="uk-UA" w:bidi="uk-UA"/>
              </w:rPr>
              <w:t>Власник документа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OLYELECTRA — OLYVENRA LTD</w:t>
            </w:r>
          </w:p>
        </w:tc>
      </w:tr>
      <w:tr>
        <w:trPr>
          <w:trHeight w:hRule="atLeast"/>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uk-UA" w:eastAsia="uk-UA" w:bidi="uk-UA"/>
              </w:rPr>
              <w:t>Мова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Українська</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uk-UA" w:eastAsia="uk-UA" w:bidi="uk-UA"/>
              </w:rPr>
              <w:t>Статус</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Готово до публікації / контрольований оригінал</w:t>
            </w:r>
          </w:p>
        </w:tc>
      </w:tr>
    </w:tbl>
    <w:tbl>
      <w:tblPr>
        <w:tblW w:type="dxa" w:w="10106"/>
        <w:jc w:val="center"/>
        <w:tblLayout w:type="fixed"/>
        <w:tblLook w:firstColumn="1" w:firstRow="1" w:lastColumn="0" w:lastRow="0" w:noHBand="0" w:noVBand="1" w:val="04A0"/>
        <w:tblInd w:w="120" w:type="dxa"/>
        <w:tblCaption w:val="Призначення"/>
        <w:tblDescription w:val="Використовуйте цю форму для початкової кваліфікації або відновлення запропонованого постачальника або партнера з доставки OLYELECTRA. Реєстрація не означає схвалення, представництва, ексклюзивності, сертифікації чи зобов"/>
      </w:tblPr>
      <w:tblGrid>
        <w:gridCol w:w="10106"/>
      </w:tblGrid>
      <w:tr>
        <w:trPr>
          <w:trHeight w:hRule="atLeast"/>
          <w:tblHeader/>
          <w:cantSplit/>
        </w:trPr>
        <w:tc>
          <w:tcPr>
            <w:tcW w:type="dxa" w:w="10106"/>
            <w:tcMar>
              <w:top w:w="90" w:type="dxa"/>
              <w:start w:w="120" w:type="dxa"/>
              <w:bottom w:w="90" w:type="dxa"/>
              <w:end w:w="120" w:type="dxa"/>
            </w:tcMar>
            <w:vAlign w:val="center"/>
            <w:shd w:fill="166534" w:val="clear"/>
          </w:tcPr>
          <w:p>
            <w:pPr>
              <w:spacing w:before="0" w:after="0" w:line="240" w:lineRule="auto"/>
              <w:jc w:val="left"/>
            </w:pPr>
            <w:r/>
            <w:r>
              <w:rPr>
                <w:rFonts w:ascii="Arial" w:hAnsi="Arial" w:eastAsia="Arial" w:cs="Arial"/>
                <w:b/>
                <w:i w:val="0"/>
                <w:color w:val="FFFFFF"/>
                <w:sz w:val="18"/>
                <w:lang w:val="uk-UA" w:eastAsia="uk-UA" w:bidi="uk-UA"/>
              </w:rPr>
              <w:t>Призначення</w:t>
            </w:r>
          </w:p>
        </w:tc>
      </w:tr>
      <w:tr>
        <w:trPr>
          <w:trHeight w:hRule="atLeast"/>
          <w:cantSplit/>
        </w:trPr>
        <w:tc>
          <w:tcPr>
            <w:tcW w:type="dxa" w:w="10106"/>
            <w:tcMar>
              <w:top w:w="90" w:type="dxa"/>
              <w:start w:w="120" w:type="dxa"/>
              <w:bottom w:w="90" w:type="dxa"/>
              <w:end w:w="120" w:type="dxa"/>
            </w:tcMar>
            <w:vAlign w:val="center"/>
            <w:shd w:fill="ECFDF3" w:val="clear"/>
          </w:tcPr>
          <w:p>
            <w:pPr>
              <w:spacing w:before="0" w:after="0" w:line="252" w:lineRule="auto"/>
              <w:jc w:val="left"/>
            </w:pPr>
            <w:r/>
            <w:r>
              <w:rPr>
                <w:rFonts w:ascii="Arial" w:hAnsi="Arial" w:eastAsia="Arial" w:cs="Arial"/>
                <w:color w:val="102334"/>
                <w:sz w:val="17"/>
                <w:lang w:val="uk-UA" w:eastAsia="uk-UA" w:bidi="uk-UA"/>
              </w:rPr>
              <w:t>Використовуйте цю форму для початкової кваліфікації або відновлення запропонованого постачальника або партнера з доставки OLYELECTRA. Реєстрація не означає схвалення, представництва, ексклюзивності, сертифікації чи зобов’язання придбати. Глибина перевірки пропорційна технології, ролі, юрисдикції, проєкту та чутливості інформації.</w:t>
            </w:r>
          </w:p>
        </w:tc>
      </w:tr>
    </w:tbl>
    <w:tbl>
      <w:tblPr>
        <w:tblW w:type="dxa" w:w="10106"/>
        <w:jc w:val="center"/>
        <w:tblLayout w:type="fixed"/>
        <w:tblLook w:firstColumn="1" w:firstRow="1" w:lastColumn="0" w:lastRow="0" w:noHBand="0" w:noVBand="1" w:val="04A0"/>
        <w:tblInd w:w="120" w:type="dxa"/>
        <w:tblCaption w:val="Інструкція із заповнення"/>
        <w:tblDescription w:val="Заповніть усі застосовні поля. Посилайтеся на докази за назвою документа, видавцем, номером, редакцією та датою. Для незастосовних пунктів зазначайте «Не застосовується» та причину. Чітко відокремлюйте оцінки від вимірян"/>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uk-UA" w:eastAsia="uk-UA" w:bidi="uk-UA"/>
              </w:rPr>
              <w:t>Інструкція із заповнення</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uk-UA" w:eastAsia="uk-UA" w:bidi="uk-UA"/>
              </w:rPr>
              <w:t>Заповніть усі застосовні поля. Посилайтеся на докази за назвою документа, видавцем, номером, редакцією та датою. Для незастосовних пунктів зазначайте «Не застосовується» та причину. Чітко відокремлюйте оцінки від виміряних або затверджених даних. OLYELECTRA може запросити уточнення, посилену належну перевірку або обмін через захищену кімнату даних.</w:t>
            </w:r>
          </w:p>
        </w:tc>
      </w:tr>
    </w:tbl>
    <w:tbl>
      <w:tblPr>
        <w:tblW w:type="dxa" w:w="10106"/>
        <w:jc w:val="center"/>
        <w:tblLayout w:type="fixed"/>
        <w:tblLook w:firstColumn="1" w:firstRow="1" w:lastColumn="0" w:lastRow="0" w:noHBand="0" w:noVBand="1" w:val="04A0"/>
        <w:tblInd w:w="120" w:type="dxa"/>
        <w:tblCaption w:val="Конфіденційність і безпечна передача документів"/>
        <w:tblDescription w:val="Не надсилайте облікові дані, детальні моделі чи налаштування мережі, схеми критичної інфраструктури, документи, що посвідчують особу, захищені персональні дані або комерційно обмежену інформацію звичайною електронною пош"/>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uk-UA" w:eastAsia="uk-UA" w:bidi="uk-UA"/>
              </w:rPr>
              <w:t>Конфіденційність і безпечна передача документів</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uk-UA" w:eastAsia="uk-UA" w:bidi="uk-UA"/>
              </w:rPr>
              <w:t>Не надсилайте облікові дані, детальні моделі чи налаштування мережі, схеми критичної інфраструктури, документи, що посвідчують особу, захищені персональні дані або комерційно обмежену інформацію звичайною електронною поштою чи через публічну вебформу. До погодження захищеного каналу та одержувачів надавайте лише посилання на документи.</w:t>
            </w:r>
          </w:p>
          <w:p>
            <w:pPr>
              <w:spacing w:before="60" w:after="0" w:line="240" w:lineRule="auto"/>
              <w:jc w:val="left"/>
            </w:pPr>
            <w:hyperlink r:id="rId11">
              <w:r>
                <w:rPr>
                  <w:color w:val="166534"/>
                  <w:u w:val="single"/>
                </w:rPr>
                <w:t>Ознайомитися з Повідомленням OLYVENRA про конфіденційність</w:t>
              </w:r>
            </w:hyperlink>
          </w:p>
        </w:tc>
      </w:tr>
    </w:tbl>
    <w:tbl>
      <w:tblPr>
        <w:tblW w:type="dxa" w:w="10106"/>
        <w:jc w:val="center"/>
        <w:tblLayout w:type="fixed"/>
        <w:tblLook w:firstColumn="1" w:firstRow="1" w:lastColumn="0" w:lastRow="0" w:noHBand="0" w:noVBand="1" w:val="04A0"/>
        <w:tblInd w:w="120" w:type="dxa"/>
        <w:tblCaption w:val="Межі повноважень, безпеки та доказів проєкту"/>
        <w:tblDescription w:val="Ця форма не є офертою, інженерним або мережевим погодженням, дозволом, сертифікацією продукції, гарантією виробітку чи економії, зобов’язанням щодо фінансування, юридичною консультацією або обов’язком укласти правочин. Р"/>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left"/>
            </w:pPr>
            <w:r/>
            <w:r>
              <w:rPr>
                <w:rFonts w:ascii="Arial" w:hAnsi="Arial" w:eastAsia="Arial" w:cs="Arial"/>
                <w:b/>
                <w:i w:val="0"/>
                <w:color w:val="FFFFFF"/>
                <w:sz w:val="18"/>
                <w:lang w:val="uk-UA" w:eastAsia="uk-UA" w:bidi="uk-UA"/>
              </w:rPr>
              <w:t>Межі повноважень, безпеки та доказів проєкту</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uk-UA" w:eastAsia="uk-UA" w:bidi="uk-UA"/>
              </w:rPr>
              <w:t>Ця форма не є офертою, інженерним або мережевим погодженням, дозволом, сертифікацією продукції, гарантією виробітку чи економії, зобов’язанням щодо фінансування, юридичною консультацією або обов’язком укласти правочин. Рішення ухвалюють компетентні сторони на підставі доказів для конкретного проєкту.</w:t>
            </w:r>
          </w:p>
        </w:tc>
      </w:tr>
    </w:tbl>
    <w:p>
      <w:pPr>
        <w:pStyle w:val="Heading1"/>
        <w:keepNext/>
        <w:spacing w:before="160" w:after="80" w:line="240" w:lineRule="auto"/>
        <w:jc w:val="left"/>
      </w:pPr>
      <w:r>
        <w:rPr>
          <w:rFonts w:ascii="Arial" w:hAnsi="Arial" w:eastAsia="Arial" w:cs="Arial"/>
          <w:b/>
          <w:color w:val="166534"/>
          <w:sz w:val="25"/>
          <w:lang w:val="uk-UA" w:eastAsia="uk-UA" w:bidi="uk-UA"/>
        </w:rPr>
        <w:t>Юридична особа, право власності та роль доставки</w:t>
      </w:r>
    </w:p>
    <w:tbl>
      <w:tblPr>
        <w:tblW w:type="dxa" w:w="10106"/>
        <w:jc w:val="center"/>
        <w:tblLayout w:type="fixed"/>
        <w:tblLook w:firstColumn="1" w:firstRow="1" w:lastColumn="0" w:lastRow="0" w:noHBand="0" w:noVBand="1" w:val="04A0"/>
        <w:tblInd w:w="120" w:type="dxa"/>
        <w:tblCaption w:val="Юридична особа, право власності та роль доставки"/>
        <w:tblDescription w:val="Юридична особа, право власності та роль доставки: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Повне юридичне найменування, комерційне найменування та тип організації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вне юридичне найменування, комерційне найменування та тип організації"/>
                <w:tag w:val="olyelectra.v2.supplier-registration.uk.company.legal_name"/>
                <w:id w:val="33006701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Реєстраційний номер, країна, податковий статус і юридична адреса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Реєстраційний номер, країна, податковий статус і юридична адреса"/>
                <w:tag w:val="olyelectra.v2.supplier-registration.uk.company.registration"/>
                <w:id w:val="9227450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Корпоративний веб-сайт і публічний профіль, який можна перевірити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рпоративний веб-сайт і публічний профіль, який можна перевірити"/>
                <w:tag w:val="olyelectra.v2.supplier-registration.uk.company.website"/>
                <w:id w:val="76476551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Авторизований контакт: ім’я, посада, відділ, електронна адреса та телефон</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Авторизований контакт: ім’я, посада, відділ, електронна адреса та телефон"/>
                <w:tag w:val="olyelectra.v2.supplier-registration.uk.company.contact"/>
                <w:id w:val="198497217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Кінцеві бенефіціарні власники, відсотки та державна власність/контроль</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інцеві бенефіціарні власники, відсотки та державна власність/контроль"/>
                <w:tag w:val="olyelectra.v2.supplier-registration.uk.company.ownership"/>
                <w:id w:val="3567518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Директори, посадові особи, уповноважені особи та відповідальність керівництва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иректори, посадові особи, уповноважені особи та відповідальність керівництва"/>
                <w:tag w:val="olyelectra.v2.supplier-registration.uk.company.directors"/>
                <w:id w:val="106281634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Зареєстровані, виробничі, монтажні, складські та сервісні місця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реєстровані, виробничі, монтажні, складські та сервісні місця"/>
                <w:tag w:val="olyelectra.v2.supplier-registration.uk.company.sites"/>
                <w:id w:val="35528367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166534"/>
          <w:sz w:val="25"/>
          <w:lang w:val="uk-UA" w:eastAsia="uk-UA" w:bidi="uk-UA"/>
        </w:rPr>
        <w:t>Обсяг технології, виготовлення та маршрут постачання</w:t>
      </w:r>
    </w:p>
    <w:tbl>
      <w:tblPr>
        <w:tblW w:type="dxa" w:w="10106"/>
        <w:jc w:val="center"/>
        <w:tblLayout w:type="fixed"/>
        <w:tblLook w:firstColumn="1" w:firstRow="1" w:lastColumn="0" w:lastRow="0" w:noHBand="0" w:noVBand="1" w:val="04A0"/>
        <w:tblInd w:w="120" w:type="dxa"/>
        <w:tblCaption w:val="Обсяг технології, виготовлення та маршрут постачання"/>
        <w:tblDescription w:val="Обсяг технології, виготовлення та маршрут постачання: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OEM, розробник, EPC, інсталятор, інтегратор, дистриб’ютор, O&amp;M, програмне забезпечення або роль радника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OEM, розробник, EPC, інсталятор, інтегратор, дистриб’ютор, O&amp;M, програмне забезпечення або роль радника"/>
                <w:tag w:val="olyelectra.v2.supplier-registration.uk.scope.supplier_role"/>
                <w:id w:val="166475139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Дозволені території, призначення каналів і обмеження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озволені території, призначення каналів і обмеження"/>
                <w:tag w:val="olyelectra.v2.supplier-registration.uk.scope.territories"/>
                <w:id w:val="69259682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Сімейства технологій і послуг, рейтинги, програми та виключення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імейства технологій і послуг, рейтинги, програми та виключення"/>
                <w:tag w:val="olyelectra.v2.supplier-registration.uk.scope.product_scope"/>
                <w:id w:val="131441199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Законний виробник, місце виробництва, країна походження та авторизований шлях постачання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конний виробник, місце виробництва, країна походження та авторизований шлях постачання"/>
                <w:tag w:val="olyelectra.v2.supplier-registration.uk.scope.manufacturer"/>
                <w:id w:val="169410311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Процес виробництва/складання, потужність, критичне обладнання та аутсорсинг</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оцес виробництва/складання, потужність, критичне обладнання та аутсорсинг"/>
                <w:tag w:val="olyelectra.v2.supplier-registration.uk.scope.manufacturing"/>
                <w:id w:val="61948745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Критичні субпідрядники, залежності від OEM і контроль потоку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ритичні субпідрядники, залежності від OEM і контроль потоку"/>
                <w:tag w:val="olyelectra.v2.supplier-registration.uk.scope.subcontractors"/>
                <w:id w:val="44552960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Країна походження, видимість номенклатури матеріалів і концентрація ланцюга постачання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раїна походження, видимість номенклатури матеріалів і концентрація ланцюга постачання"/>
                <w:tag w:val="olyelectra.v2.supplier-registration.uk.scope.origin"/>
                <w:id w:val="127134841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166534"/>
          <w:sz w:val="25"/>
          <w:lang w:val="uk-UA" w:eastAsia="uk-UA" w:bidi="uk-UA"/>
        </w:rPr>
        <w:t>Якість, докази продукту та контроль конфігурації</w:t>
      </w:r>
    </w:p>
    <w:tbl>
      <w:tblPr>
        <w:tblW w:type="dxa" w:w="10106"/>
        <w:jc w:val="center"/>
        <w:tblLayout w:type="fixed"/>
        <w:tblLook w:firstColumn="1" w:firstRow="1" w:lastColumn="0" w:lastRow="0" w:noHBand="0" w:noVBand="1" w:val="04A0"/>
        <w:tblInd w:w="120" w:type="dxa"/>
        <w:tblCaption w:val="Якість, докази продукту та контроль конфігурації"/>
        <w:tblDescription w:val="Якість, докази продукту та контроль конфігурації: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Сфера застосування системи управління якістю, сертифікат, орган, що видав, і охоплення території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фера застосування системи управління якістю, сертифікат, орган, що видав, і охоплення території"/>
                <w:tag w:val="olyelectra.v2.supplier-registration.uk.quality.qms"/>
                <w:id w:val="146588046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Контроль випробувальних лабораторій, сфери акредитації та поточного звіту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нтроль випробувальних лабораторій, сфери акредитації та поточного звіту"/>
                <w:tag w:val="olyelectra.v2.supplier-registration.uk.quality.test_labs"/>
                <w:id w:val="83249522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Базовий рівень продукту, версія BOM/програмного забезпечення, повноваження на проєктування та повідомлення про зміни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Базовий рівень продукту, версія BOM/програмного забезпечення, повноваження на проєктування та повідомлення про зміни"/>
                <w:tag w:val="olyelectra.v2.supplier-registration.uk.quality.configuration"/>
                <w:id w:val="7810431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Генеалогія серій, партій, партій і компонентів, а також термін зберігання записів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Генеалогія серій, партій, партій і компонентів, а також термін зберігання записів"/>
                <w:tag w:val="olyelectra.v2.supplier-registration.uk.quality.traceability"/>
                <w:id w:val="52106327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Невідповідність, поступка/відхилення, CAPA та процес сповіщення клієнтів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Невідповідність, поступка/відхилення, CAPA та процес сповіщення клієнтів"/>
                <w:tag w:val="olyelectra.v2.supplier-registration.uk.quality.nonconformance"/>
                <w:id w:val="65213380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Скарга, інцидент з безпекою, дії на місцях, процес відкликання та нормативного повідомлення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карга, інцидент з безпекою, дії на місцях, процес відкликання та нормативного повідомлення"/>
                <w:tag w:val="olyelectra.v2.supplier-registration.uk.quality.complaints"/>
                <w:id w:val="114654807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Стандарти/коди, що стосуються контрактів, юрисдикцій і продуктів, а також необхідні редакції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тандарти/коди, що стосуються контрактів, юрисдикцій і продуктів, а також необхідні редакції"/>
                <w:tag w:val="olyelectra.v2.supplier-registration.uk.quality.standards"/>
                <w:id w:val="78090802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Актуальні звіти/сертифікати про тип, безпеку, ефективність, екологічність і відповідність</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Актуальні звіти/сертифікати про тип, безпеку, ефективність, екологічність і відповідність"/>
                <w:tag w:val="olyelectra.v2.supplier-registration.uk.quality.reports"/>
                <w:id w:val="21675204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166534"/>
          <w:sz w:val="25"/>
          <w:lang w:val="uk-UA" w:eastAsia="uk-UA" w:bidi="uk-UA"/>
        </w:rPr>
        <w:t>Ефективність, гарантія та довідкові докази проєкту</w:t>
      </w:r>
    </w:p>
    <w:tbl>
      <w:tblPr>
        <w:tblW w:type="dxa" w:w="10106"/>
        <w:jc w:val="center"/>
        <w:tblLayout w:type="fixed"/>
        <w:tblLook w:firstColumn="1" w:firstRow="1" w:lastColumn="0" w:lastRow="0" w:noHBand="0" w:noVBand="1" w:val="04A0"/>
        <w:tblInd w:w="120" w:type="dxa"/>
        <w:tblCaption w:val="Ефективність, гарантія та довідкові докази проєкту"/>
        <w:tblDescription w:val="Ефективність, гарантія та довідкові докази проєкту: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Номінальна та гарантована продуктивність, умови випробування та основа допуску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Номінальна та гарантована продуктивність, умови випробування та основа допуску"/>
                <w:tag w:val="olyelectra.v2.supplier-registration.uk.performance.performance_data"/>
                <w:id w:val="177030208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Деградація, доступність, пропускна здатність/цикл і припущення щодо збільшення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еградація, доступність, пропускна здатність/цикл і припущення щодо збільшення"/>
                <w:tag w:val="olyelectra.v2.supplier-registration.uk.performance.degradation"/>
                <w:id w:val="43414923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Гарантійний період, тригер, виключення, засоби правового захисту, безпека та адміністрування претензій</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Гарантійний період, тригер, виключення, засоби правового захисту, безпека та адміністрування претензій"/>
                <w:tag w:val="olyelectra.v2.supplier-registration.uk.performance.warranty_terms"/>
                <w:id w:val="199977510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Порівняльні експлуатаційні довідники з моделлю, потужністю, сайтом і датою експлуатації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рівняльні експлуатаційні довідники з моделлю, потужністю, сайтом і датою експлуатації"/>
                <w:tag w:val="olyelectra.v2.supplier-registration.uk.performance.reference_projects"/>
                <w:id w:val="34371672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Місця обслуговування, персонал, компетенція, запасні частини та маршрут ескалації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Місця обслуговування, персонал, компетенція, запасні частини та маршрут ескалації"/>
                <w:tag w:val="olyelectra.v2.supplier-registration.uk.performance.service_network"/>
                <w:id w:val="128805498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Фінансовий стан, страхування, підтримка батьків і досвід кредитора/незалежного інженера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Фінансовий стан, страхування, підтримка батьків і досвід кредитора/незалежного інженера"/>
                <w:tag w:val="olyelectra.v2.supplier-registration.uk.performance.bankability"/>
                <w:id w:val="124170032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Місцеве обслуговування, запасні частини, ескалація, віддалена підтримка та можливість швидкого реагування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Місцеве обслуговування, запасні частини, ескалація, віддалена підтримка та можливість швидкого реагування"/>
                <w:tag w:val="olyelectra.v2.supplier-registration.uk.performance.support"/>
                <w:id w:val="125665992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166534"/>
          <w:sz w:val="25"/>
          <w:lang w:val="uk-UA" w:eastAsia="uk-UA" w:bidi="uk-UA"/>
        </w:rPr>
        <w:t>Відповідальне постачання, стійкість і контроль життєвого циклу</w:t>
      </w:r>
    </w:p>
    <w:tbl>
      <w:tblPr>
        <w:tblW w:type="dxa" w:w="10106"/>
        <w:jc w:val="center"/>
        <w:tblLayout w:type="fixed"/>
        <w:tblLook w:firstColumn="1" w:firstRow="1" w:lastColumn="0" w:lastRow="0" w:noHBand="0" w:noVBand="1" w:val="04A0"/>
        <w:tblInd w:w="120" w:type="dxa"/>
        <w:tblCaption w:val="Відповідальне постачання, стійкість і контроль життєвого циклу"/>
        <w:tblDescription w:val="Відповідальне постачання, стійкість і контроль життєвого циклу: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Акумуляторна/важлива перевірка корисних копалин, ланцюжок постачання та підхід до управління ризиками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Акумуляторна/важлива перевірка корисних копалин, ланцюжок постачання та підхід до управління ризиками"/>
                <w:tag w:val="olyelectra.v2.supplier-registration.uk.responsibility.minerals"/>
                <w:id w:val="7815027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Вуглецевий слід продукту, EPD/LCA або інші екологічні докази та методологія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углецевий слід продукту, EPD/LCA або інші екологічні докази та методологія"/>
                <w:tag w:val="olyelectra.v2.supplier-registration.uk.responsibility.carbon"/>
                <w:id w:val="210499712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Відповідальність виробника, повернення, переробка та контроль партнерів з утилізації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ідповідальність виробника, повернення, переробка та контроль партнерів з утилізації"/>
                <w:tag w:val="olyelectra.v2.supplier-registration.uk.responsibility.waste"/>
                <w:id w:val="48404112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Управління безпекою продуктів і робочого місця, історія інцидентів і підтримка в екстрених ситуаціях</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Управління безпекою продуктів і робочого місця, історія інцидентів і підтримка в екстрених ситуаціях"/>
                <w:tag w:val="olyelectra.v2.supplier-registration.uk.responsibility.health_safety"/>
                <w:id w:val="185755549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Трудові стандарти, примусова/дитяча праця, добробут працівників і контроль над скаргами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Трудові стандарти, примусова/дитяча праця, добробут працівників і контроль над скаргами"/>
                <w:tag w:val="olyelectra.v2.supplier-registration.uk.responsibility.labour"/>
                <w:id w:val="169680371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Належна обачність у сфері прав людини, скарги, виправлення та процес ескалації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Належна обачність у сфері прав людини, скарги, виправлення та процес ескалації"/>
                <w:tag w:val="olyelectra.v2.supplier-registration.uk.responsibility.human_rights"/>
                <w:id w:val="206351162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Карта критичного ланцюга поставок, країни, окремі джерела та показники стійкості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арта критичного ланцюга поставок, країни, окремі джерела та показники стійкості"/>
                <w:tag w:val="olyelectra.v2.supplier-registration.uk.responsibility.supply_chain_map"/>
                <w:id w:val="209907456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Повернення, переробка, класифікація відходів, відповідальність виробника та план виведення з експлуатації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вернення, переробка, класифікація відходів, відповідальність виробника та план виведення з експлуатації"/>
                <w:tag w:val="olyelectra.v2.supplier-registration.uk.responsibility.circularity"/>
                <w:id w:val="121853993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166534"/>
          <w:sz w:val="25"/>
          <w:lang w:val="uk-UA" w:eastAsia="uk-UA" w:bidi="uk-UA"/>
        </w:rPr>
        <w:t>Порядність, санкції, фінансовий стан та інформаційна безпека</w:t>
      </w:r>
    </w:p>
    <w:tbl>
      <w:tblPr>
        <w:tblW w:type="dxa" w:w="10106"/>
        <w:jc w:val="center"/>
        <w:tblLayout w:type="fixed"/>
        <w:tblLook w:firstColumn="1" w:firstRow="1" w:lastColumn="0" w:lastRow="0" w:noHBand="0" w:noVBand="1" w:val="04A0"/>
        <w:tblInd w:w="120" w:type="dxa"/>
        <w:tblCaption w:val="Порядність, санкції, фінансовий стан та інформаційна безпека"/>
        <w:tblDescription w:val="Порядність, санкції, фінансовий стан та інформаційна безпека: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Санкції, відсторонення, контроль за дотриманням вимог щодо експорту/імпорту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анкції, відсторонення, контроль за дотриманням вимог щодо експорту/імпорту"/>
                <w:tag w:val="olyelectra.v2.supplier-registration.uk.integrity.sanctions"/>
                <w:id w:val="61645917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Боротьба з хабарництвом, подарунки, виплати за сприяння та сторонні засоби контролю</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Боротьба з хабарництвом, подарунки, виплати за сприяння та сторонні засоби контролю"/>
                <w:tag w:val="olyelectra.v2.supplier-registration.uk.integrity.anti_bribery"/>
                <w:id w:val="16421292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Агенти, брокери, комісійні, гонорари за успіх і одержувачі платежів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Агенти, брокери, комісійні, гонорари за успіх і одержувачі платежів"/>
                <w:tag w:val="olyelectra.v2.supplier-registration.uk.integrity.fees"/>
                <w:id w:val="200120435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Реальні або потенційні конфлікти, державно-службові відносини та відносини пов’язаних осіб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Реальні або потенційні конфлікти, державно-службові відносини та відносини пов’язаних осіб"/>
                <w:tag w:val="olyelectra.v2.supplier-registration.uk.integrity.conflicts"/>
                <w:id w:val="183096454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Питання фінансового стану, неплатоспроможності, безперервної діяльності та матеріального кредиту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итання фінансового стану, неплатоспроможності, безперервної діяльності та матеріального кредиту"/>
                <w:tag w:val="olyelectra.v2.supplier-registration.uk.integrity.financial"/>
                <w:id w:val="59960034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Суттєві судові процеси, розслідування, примусове виконання, позбавлення прав і негативні ЗМІ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уттєві судові процеси, розслідування, примусове виконання, позбавлення прав і негативні ЗМІ"/>
                <w:tag w:val="olyelectra.v2.supplier-registration.uk.integrity.adverse_media"/>
                <w:id w:val="23648046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Структура інформаційної безпеки, інциденти та контроль даних критичної інфраструктури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труктура інформаційної безпеки, інциденти та контроль даних критичної інфраструктури"/>
                <w:tag w:val="olyelectra.v2.supplier-registration.uk.integrity.information_security"/>
                <w:id w:val="183003585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Право власності на дані, країни розміщення, вимоги до конфіденційності, збереження та безпечної передачі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аво власності на дані, країни розміщення, вимоги до конфіденційності, збереження та безпечної передачі"/>
                <w:tag w:val="olyelectra.v2.supplier-registration.uk.integrity.data"/>
                <w:id w:val="182969078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166534"/>
          <w:sz w:val="25"/>
          <w:lang w:val="uk-UA" w:eastAsia="uk-UA" w:bidi="uk-UA"/>
        </w:rPr>
        <w:t>Контрольний список підтверджуючих доказів</w:t>
      </w:r>
    </w:p>
    <w:tbl>
      <w:tblPr>
        <w:tblW w:type="dxa" w:w="10106"/>
        <w:jc w:val="center"/>
        <w:tblLayout w:type="fixed"/>
        <w:tblLook w:firstColumn="1" w:firstRow="1" w:lastColumn="0" w:lastRow="0" w:noHBand="0" w:noVBand="1" w:val="04A0"/>
        <w:tblInd w:w="120" w:type="dxa"/>
        <w:tblCaption w:val="Контрольний список підтверджуючих доказів"/>
        <w:tblDescription w:val="Контрольний список підтверджуючих доказів: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Підтвердження реєстрації, податку, зареєстрованої адреси та уповноваженого підпису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ідтвердження реєстрації, податку, зареєстрованої адреси та уповноваженого підпису"/>
                <w:tag w:val="olyelectra.v2.supplier-registration.uk.evidence.registration_evidence"/>
                <w:id w:val="86217213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Свідоцтво власності та свідчення бенефіціарного власника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відоцтво власності та свідчення бенефіціарного власника"/>
                <w:tag w:val="olyelectra.v2.supplier-registration.uk.evidence.ownership_evidence"/>
                <w:id w:val="105032668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Сертифікати, підсумки аудиту, звіти про випробування та докази відповідності продукції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ертифікати, підсумки аудиту, звіти про випробування та докази відповідності продукції"/>
                <w:tag w:val="olyelectra.v2.supplier-registration.uk.evidence.quality_evidence"/>
                <w:id w:val="149053195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Референсний список, докази приймання, історія гарантій/претензій та записи про виконання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Референсний список, докази приймання, історія гарантій/претензій та записи про виконання"/>
                <w:tag w:val="olyelectra.v2.supplier-registration.uk.evidence.project_evidence"/>
                <w:id w:val="69033050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Чесність, санкції, праця, стійкість, пошук джерел, HSE та кіберполітика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Чесність, санкції, праця, стійкість, пошук джерел, HSE та кіберполітика"/>
                <w:tag w:val="olyelectra.v2.supplier-registration.uk.evidence.policy_evidence"/>
                <w:id w:val="37910740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Діючі страхові свідоцтва та матеріальні обмеження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іючі страхові свідоцтва та матеріальні обмеження"/>
                <w:tag w:val="olyelectra.v2.supplier-registration.uk.evidence.insurance_evidence"/>
                <w:id w:val="180764004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Порівнянні робочі посилання на проєкт, країну, потужність, вік і маршрут контакту з клієнтом</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рівнянні робочі посилання на проєкт, країну, потужність, вік і маршрут контакту з клієнтом"/>
                <w:tag w:val="olyelectra.v2.supplier-registration.uk.evidence.references"/>
                <w:id w:val="84525481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166534"/>
          <w:sz w:val="25"/>
          <w:lang w:val="uk-UA" w:eastAsia="uk-UA" w:bidi="uk-UA"/>
        </w:rPr>
        <w:t>Декларація та авторизований підпис</w:t>
      </w:r>
    </w:p>
    <w:tbl>
      <w:tblPr>
        <w:tblW w:type="dxa" w:w="10106"/>
        <w:jc w:val="center"/>
        <w:tblLayout w:type="fixed"/>
        <w:tblLook w:firstColumn="1" w:firstRow="1" w:lastColumn="0" w:lastRow="0" w:noHBand="0" w:noVBand="1" w:val="04A0"/>
        <w:tblInd w:w="120" w:type="dxa"/>
        <w:tblCaption w:val="Декларація та авторизований підпис"/>
        <w:tblDescription w:val="Підтверджую, що інформація є повною й точною, наскільки мені відомо, що я уповноважений(а) її подати та що організація невідкладно повідомить про істотні зміни. Розумію, що подання форми не створює погодження, призначенн"/>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keepNext/>
              <w:spacing w:before="0" w:after="0" w:line="240" w:lineRule="auto"/>
              <w:jc w:val="left"/>
            </w:pPr>
            <w:r/>
            <w:r>
              <w:rPr>
                <w:rFonts w:ascii="Arial" w:hAnsi="Arial" w:eastAsia="Arial" w:cs="Arial"/>
                <w:b/>
                <w:i w:val="0"/>
                <w:color w:val="FFFFFF"/>
                <w:sz w:val="18"/>
                <w:lang w:val="uk-UA" w:eastAsia="uk-UA" w:bidi="uk-UA"/>
              </w:rPr>
              <w:t>Декларація та авторизований підпис</w:t>
            </w:r>
          </w:p>
        </w:tc>
      </w:tr>
      <w:tr>
        <w:trPr>
          <w:trHeight w:hRule="atLeast"/>
          <w:cantSplit/>
        </w:trPr>
        <w:tc>
          <w:tcPr>
            <w:tcW w:type="dxa" w:w="10106"/>
            <w:tcMar>
              <w:top w:w="90" w:type="dxa"/>
              <w:start w:w="120" w:type="dxa"/>
              <w:bottom w:w="90" w:type="dxa"/>
              <w:end w:w="120" w:type="dxa"/>
            </w:tcMar>
            <w:vAlign w:val="center"/>
            <w:shd w:fill="ECFDF3" w:val="clear"/>
          </w:tcPr>
          <w:p>
            <w:pPr>
              <w:keepNext/>
              <w:spacing w:before="0" w:after="0" w:line="252" w:lineRule="auto"/>
              <w:jc w:val="left"/>
            </w:pPr>
            <w:r/>
            <w:r>
              <w:rPr>
                <w:rFonts w:ascii="Arial" w:hAnsi="Arial" w:eastAsia="Arial" w:cs="Arial"/>
                <w:color w:val="102334"/>
                <w:sz w:val="17"/>
                <w:lang w:val="uk-UA" w:eastAsia="uk-UA" w:bidi="uk-UA"/>
              </w:rPr>
              <w:t>Підтверджую, що інформація є повною й точною, наскільки мені відомо, що я уповноважений(а) її подати та що організація невідкладно повідомить про істотні зміни. Розумію, що подання форми не створює погодження, призначення, конфіденційності, наявності, виключності, сертифікації, здійсненності проєкту або обов’язку укласти правочин.</w:t>
            </w:r>
          </w:p>
        </w:tc>
      </w:tr>
    </w:tbl>
    <w:tbl>
      <w:tblPr>
        <w:tblW w:type="dxa" w:w="10106"/>
        <w:jc w:val="center"/>
        <w:tblLayout w:type="fixed"/>
        <w:tblLook w:firstColumn="1" w:firstRow="1" w:lastColumn="0" w:lastRow="0" w:noHBand="0" w:noVBand="1" w:val="04A0"/>
        <w:tblInd w:w="120" w:type="dxa"/>
        <w:tblCaption w:val="Декларація та авторизований підпис"/>
        <w:tblDescription w:val="Декларація та авторизований підпис: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Уповноважений декларант: П.І.Б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Уповноважений декларант: П.І.Б"/>
                <w:tag w:val="olyelectra.v2.supplier-registration.uk.declaration.declaration_name"/>
                <w:id w:val="173125794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Посада та організація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сада та організація"/>
                <w:tag w:val="olyelectra.v2.supplier-registration.uk.declaration.declaration_title"/>
                <w:id w:val="214208922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Основа повноважень для подання цієї форми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снова повноважень для подання цієї форми"/>
                <w:tag w:val="olyelectra.v2.supplier-registration.uk.declaration.declaration_basis"/>
                <w:id w:val="62409539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Підпис</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ідпис"/>
                <w:tag w:val="olyelectra.v2.supplier-registration.uk.declaration.signature"/>
                <w:id w:val="205700615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Дата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ата"/>
                <w:tag w:val="olyelectra.v2.supplier-registration.uk.declaration.date"/>
                <w:id w:val="159884149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left"/>
          </w:pPr>
          <w:r/>
          <w:r>
            <w:rPr>
              <w:rFonts w:ascii="Arial" w:hAnsi="Arial" w:eastAsia="Arial" w:cs="Arial"/>
              <w:b/>
              <w:i w:val="0"/>
              <w:color w:val="051C2B"/>
              <w:sz w:val="15"/>
              <w:lang w:val="uk-UA" w:eastAsia="uk-UA" w:bidi="uk-UA"/>
            </w:rPr>
            <w:t>OLYE-FRM-ESR-001 · V2.0</w:t>
          </w:r>
        </w:p>
      </w:tc>
      <w:tc>
        <w:tcPr>
          <w:tcW w:type="dxa" w:w="4050"/>
          <w:tcMar>
            <w:top w:w="55" w:type="dxa"/>
            <w:start w:w="90" w:type="dxa"/>
            <w:bottom w:w="55" w:type="dxa"/>
            <w:end w:w="90" w:type="dxa"/>
          </w:tcMar>
          <w:vAlign w:val="center"/>
          <w:shd w:fill="F3F6F8" w:val="clear"/>
        </w:tcPr>
        <w:p>
          <w:pPr>
            <w:spacing w:before="0" w:after="0" w:line="240" w:lineRule="auto"/>
            <w:jc w:val="center"/>
          </w:pPr>
          <w:r/>
          <w:r>
            <w:rPr>
              <w:rFonts w:ascii="Arial" w:hAnsi="Arial" w:eastAsia="Arial" w:cs="Arial"/>
              <w:b w:val="0"/>
              <w:i w:val="0"/>
              <w:color w:val="526577"/>
              <w:sz w:val="14"/>
              <w:lang w:val="uk-UA" w:eastAsia="uk-UA" w:bidi="uk-UA"/>
            </w:rPr>
            <w:t>Контрольована ділова форма під час електронного перегляду</w:t>
          </w:r>
        </w:p>
      </w:tc>
      <w:tc>
        <w:tcPr>
          <w:tcW w:type="dxa" w:w="2706"/>
          <w:tcMar>
            <w:top w:w="55" w:type="dxa"/>
            <w:start w:w="90" w:type="dxa"/>
            <w:bottom w:w="55" w:type="dxa"/>
            <w:end w:w="90" w:type="dxa"/>
          </w:tcMar>
          <w:vAlign w:val="center"/>
          <w:shd w:fill="F3F6F8" w:val="clear"/>
        </w:tcPr>
        <w:p>
          <w:pPr>
            <w:spacing w:before="0" w:after="0" w:line="247" w:lineRule="auto"/>
            <w:jc w:val="right"/>
          </w:pPr>
          <w:r>
            <w:rPr>
              <w:rFonts w:ascii="Arial" w:hAnsi="Arial" w:eastAsia="Arial" w:cs="Arial"/>
              <w:b/>
              <w:color w:val="051C2B"/>
              <w:sz w:val="15"/>
              <w:lang w:val="uk-UA" w:eastAsia="uk-UA" w:bidi="uk-UA"/>
            </w:rPr>
            <w:t xml:space="preserve">Сторінка </w:t>
          </w:r>
          <w:r>
            <w:rPr>
              <w:rFonts w:ascii="Arial" w:hAnsi="Arial" w:eastAsia="Arial" w:cs="Arial"/>
              <w:color w:val="526577"/>
              <w:sz w:val="16"/>
              <w:lang w:val="uk-UA" w:eastAsia="uk-UA" w:bidi="uk-UA"/>
            </w:rPr>
            <w:fldChar w:fldCharType="begin"/>
          </w:r>
          <w:r>
            <w:rPr>
              <w:rFonts w:ascii="Arial" w:hAnsi="Arial" w:eastAsia="Arial" w:cs="Arial"/>
              <w:color w:val="526577"/>
              <w:sz w:val="16"/>
              <w:lang w:val="uk-UA" w:eastAsia="uk-UA" w:bidi="uk-UA"/>
            </w:rPr>
            <w:instrText xml:space="preserve">PAGE</w:instrText>
          </w:r>
          <w:r>
            <w:rPr>
              <w:rFonts w:ascii="Arial" w:hAnsi="Arial" w:eastAsia="Arial" w:cs="Arial"/>
              <w:color w:val="526577"/>
              <w:sz w:val="16"/>
              <w:lang w:val="uk-UA" w:eastAsia="uk-UA" w:bidi="uk-UA"/>
            </w:rPr>
            <w:fldChar w:fldCharType="separate"/>
          </w:r>
          <w:r>
            <w:rPr>
              <w:rFonts w:ascii="Arial" w:hAnsi="Arial" w:eastAsia="Arial" w:cs="Arial"/>
              <w:color w:val="526577"/>
              <w:sz w:val="16"/>
              <w:lang w:val="uk-UA" w:eastAsia="uk-UA" w:bidi="uk-UA"/>
            </w:rPr>
            <w:instrText xml:space="preserve">1</w:instrText>
          </w:r>
          <w:r>
            <w:rPr>
              <w:rFonts w:ascii="Arial" w:hAnsi="Arial" w:eastAsia="Arial" w:cs="Arial"/>
              <w:color w:val="526577"/>
              <w:sz w:val="16"/>
              <w:lang w:val="uk-UA" w:eastAsia="uk-UA" w:bidi="uk-UA"/>
            </w:rPr>
            <w:fldChar w:fldCharType="end"/>
          </w:r>
          <w:r>
            <w:rPr>
              <w:rFonts w:ascii="Arial" w:hAnsi="Arial" w:eastAsia="Arial" w:cs="Arial"/>
              <w:color w:val="526577"/>
              <w:sz w:val="15"/>
              <w:lang w:val="uk-UA" w:eastAsia="uk-UA" w:bidi="uk-UA"/>
            </w:rPr>
            <w:t xml:space="preserve"> / </w:t>
          </w:r>
          <w:r>
            <w:rPr>
              <w:rFonts w:ascii="Arial" w:hAnsi="Arial" w:eastAsia="Arial" w:cs="Arial"/>
              <w:color w:val="526577"/>
              <w:sz w:val="16"/>
              <w:lang w:val="uk-UA" w:eastAsia="uk-UA" w:bidi="uk-UA"/>
            </w:rPr>
            <w:fldChar w:fldCharType="begin"/>
          </w:r>
          <w:r>
            <w:rPr>
              <w:rFonts w:ascii="Arial" w:hAnsi="Arial" w:eastAsia="Arial" w:cs="Arial"/>
              <w:color w:val="526577"/>
              <w:sz w:val="16"/>
              <w:lang w:val="uk-UA" w:eastAsia="uk-UA" w:bidi="uk-UA"/>
            </w:rPr>
            <w:instrText xml:space="preserve">NUMPAGES</w:instrText>
          </w:r>
          <w:r>
            <w:rPr>
              <w:rFonts w:ascii="Arial" w:hAnsi="Arial" w:eastAsia="Arial" w:cs="Arial"/>
              <w:color w:val="526577"/>
              <w:sz w:val="16"/>
              <w:lang w:val="uk-UA" w:eastAsia="uk-UA" w:bidi="uk-UA"/>
            </w:rPr>
            <w:fldChar w:fldCharType="separate"/>
          </w:r>
          <w:r>
            <w:rPr>
              <w:rFonts w:ascii="Arial" w:hAnsi="Arial" w:eastAsia="Arial" w:cs="Arial"/>
              <w:color w:val="526577"/>
              <w:sz w:val="16"/>
              <w:lang w:val="uk-UA" w:eastAsia="uk-UA" w:bidi="uk-UA"/>
            </w:rPr>
            <w:instrText xml:space="preserve">1</w:instrText>
          </w:r>
          <w:r>
            <w:rPr>
              <w:rFonts w:ascii="Arial" w:hAnsi="Arial" w:eastAsia="Arial" w:cs="Arial"/>
              <w:color w:val="526577"/>
              <w:sz w:val="16"/>
              <w:lang w:val="uk-UA" w:eastAsia="uk-UA" w:bidi="uk-UA"/>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ELECTRA document header"/>
      <w:tblDescription w:val="OLYELECTRA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pPr>
          <w:r>
            <w:drawing>
              <wp:inline xmlns:a="http://schemas.openxmlformats.org/drawingml/2006/main" xmlns:pic="http://schemas.openxmlformats.org/drawingml/2006/picture">
                <wp:extent cx="2057400" cy="411480"/>
                <wp:docPr id="1" name="OLYELECTRA wordmark" descr="OLYELECTRA wordmark"/>
                <wp:cNvGraphicFramePr>
                  <a:graphicFrameLocks noChangeAspect="1"/>
                </wp:cNvGraphicFramePr>
                <a:graphic>
                  <a:graphicData uri="http://schemas.openxmlformats.org/drawingml/2006/picture">
                    <pic:pic>
                      <pic:nvPicPr>
                        <pic:cNvPr id="0" name="olyelectra-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right"/>
          </w:pPr>
          <w:r>
            <w:rPr>
              <w:rFonts w:ascii="Arial" w:hAnsi="Arial" w:eastAsia="Arial" w:cs="Arial"/>
              <w:b/>
              <w:color w:val="FFFFFF"/>
              <w:sz w:val="16"/>
              <w:lang w:val="uk-UA" w:eastAsia="uk-UA" w:bidi="uk-UA"/>
            </w:rPr>
            <w:t>ВІДНОВЛЮВАНА ЕНЕРГЕТИКА, НАКОПИЧЕННЯ ТА ЕЛЕКТРИФІКАЦІЯ</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uk-UA" w:eastAsia="uk-UA" w:bidi="uk-U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166534"/>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uk&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реєстрації постачальника та партнера енергетичного проєкту</dc:title>
  <dc:subject>Кваліфікація OEM, EPC, розробників, інтеграторів і сервісних організацій на основі оцінки ризиків</dc:subject>
  <dc:creator/>
  <cp:keywords>OLYELECTRA, renewable energy, energy storage, grid, due diligence, document control</cp:keywords>
  <dc:description>Controlled OLYELECTRA form OLYE-FRM-ESR-001 V2.0.</dc:description>
  <cp:lastModifiedBy/>
  <cp:revision>1</cp:revision>
  <dcterms:created xsi:type="dcterms:W3CDTF">2013-12-23T23:15:00Z</dcterms:created>
  <dcterms:modified xsi:type="dcterms:W3CDTF">2013-12-23T23:15:00Z</dcterms:modified>
  <cp:category/>
</cp:coreProperties>
</file>