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uk-UA" w:eastAsia="uk-UA" w:bidi="uk-UA"/>
        </w:rPr>
        <w:t>Анкета належної перевірки енергетичного контрагента</w:t>
      </w:r>
    </w:p>
    <w:p>
      <w:pPr>
        <w:pStyle w:val="Subtitle"/>
        <w:spacing w:before="0" w:after="140" w:line="240" w:lineRule="auto"/>
        <w:jc w:val="left"/>
      </w:pPr>
      <w:r>
        <w:rPr>
          <w:rFonts w:ascii="Arial" w:hAnsi="Arial" w:eastAsia="Arial" w:cs="Arial"/>
          <w:color w:val="526577"/>
          <w:sz w:val="19"/>
          <w:lang w:val="uk-UA" w:eastAsia="uk-UA" w:bidi="uk-UA"/>
        </w:rPr>
        <w:t>Аналіз ідентичності, цілісності, фінансів, ланцюга поставок, екологічної/соціальної та інформаційної безпеки</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Код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OLYE-FRM-DDQ-001</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Версія / дата набрання чинності</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2.0 / 2 серпня 2026 р.</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Класифікація</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Контрольована ділова форма</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Власник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OLYELECTRA — OLYVENRA LTD</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Мова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Українська</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Статус</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Готово до публікації / контрольований оригінал</w:t>
            </w:r>
          </w:p>
        </w:tc>
      </w:tr>
    </w:tbl>
    <w:tbl>
      <w:tblPr>
        <w:tblW w:type="dxa" w:w="10106"/>
        <w:jc w:val="center"/>
        <w:tblLayout w:type="fixed"/>
        <w:tblLook w:firstColumn="1" w:firstRow="1" w:lastColumn="0" w:lastRow="0" w:noHBand="0" w:noVBand="1" w:val="04A0"/>
        <w:tblInd w:w="120" w:type="dxa"/>
        <w:tblCaption w:val="Призначення"/>
        <w:tblDescription w:val="Використовуйте цю анкету до того, як OLYELECTRA вступить або поновить матеріальні відносини. Огляд стосується власності, публічно-офіційного впливу, санкцій, боротьби з хабарництвом, фінансового стану, відповідального по"/>
      </w:tblPr>
      <w:tblGrid>
        <w:gridCol w:w="10106"/>
      </w:tblGrid>
      <w:tr>
        <w:trPr>
          <w:trHeight w:hRule="atLeast"/>
          <w:tblHeader/>
          <w:cantSplit/>
        </w:trPr>
        <w:tc>
          <w:tcPr>
            <w:tcW w:type="dxa" w:w="10106"/>
            <w:tcMar>
              <w:top w:w="90" w:type="dxa"/>
              <w:start w:w="120" w:type="dxa"/>
              <w:bottom w:w="90" w:type="dxa"/>
              <w:end w:w="120" w:type="dxa"/>
            </w:tcMar>
            <w:vAlign w:val="center"/>
            <w:shd w:fill="166534" w:val="clear"/>
          </w:tcPr>
          <w:p>
            <w:pPr>
              <w:spacing w:before="0" w:after="0" w:line="240" w:lineRule="auto"/>
              <w:jc w:val="left"/>
            </w:pPr>
            <w:r/>
            <w:r>
              <w:rPr>
                <w:rFonts w:ascii="Arial" w:hAnsi="Arial" w:eastAsia="Arial" w:cs="Arial"/>
                <w:b/>
                <w:i w:val="0"/>
                <w:color w:val="FFFFFF"/>
                <w:sz w:val="18"/>
                <w:lang w:val="uk-UA" w:eastAsia="uk-UA" w:bidi="uk-UA"/>
              </w:rPr>
              <w:t>Призначення</w:t>
            </w:r>
          </w:p>
        </w:tc>
      </w:tr>
      <w:tr>
        <w:trPr>
          <w:trHeight w:hRule="atLeast"/>
          <w:cantSplit/>
        </w:trPr>
        <w:tc>
          <w:tcPr>
            <w:tcW w:type="dxa" w:w="10106"/>
            <w:tcMar>
              <w:top w:w="90" w:type="dxa"/>
              <w:start w:w="120" w:type="dxa"/>
              <w:bottom w:w="90" w:type="dxa"/>
              <w:end w:w="120" w:type="dxa"/>
            </w:tcMar>
            <w:vAlign w:val="center"/>
            <w:shd w:fill="ECFDF3" w:val="clear"/>
          </w:tcPr>
          <w:p>
            <w:pPr>
              <w:spacing w:before="0" w:after="0" w:line="252" w:lineRule="auto"/>
              <w:jc w:val="left"/>
            </w:pPr>
            <w:r/>
            <w:r>
              <w:rPr>
                <w:rFonts w:ascii="Arial" w:hAnsi="Arial" w:eastAsia="Arial" w:cs="Arial"/>
                <w:color w:val="102334"/>
                <w:sz w:val="17"/>
                <w:lang w:val="uk-UA" w:eastAsia="uk-UA" w:bidi="uk-UA"/>
              </w:rPr>
              <w:t>Використовуйте цю анкету до того, як OLYELECTRA вступить або поновить матеріальні відносини. Огляд стосується власності, публічно-офіційного впливу, санкцій, боротьби з хабарництвом, фінансового стану, відповідального пошуку джерел, праці, навколишнього середовища/соціальних ризиків, безпеки, якості, кібернетичних ризиків і ризиків ланцюга поставок.</w:t>
            </w:r>
          </w:p>
        </w:tc>
      </w:tr>
    </w:tbl>
    <w:tbl>
      <w:tblPr>
        <w:tblW w:type="dxa" w:w="10106"/>
        <w:jc w:val="center"/>
        <w:tblLayout w:type="fixed"/>
        <w:tblLook w:firstColumn="1" w:firstRow="1" w:lastColumn="0" w:lastRow="0" w:noHBand="0" w:noVBand="1" w:val="04A0"/>
        <w:tblInd w:w="120" w:type="dxa"/>
        <w:tblCaption w:val="Інструкція із заповнення"/>
        <w:tblDescription w:val="Заповніть усі застосовні поля. Посилайтеся на докази за назвою документа, видавцем, номером, редакцією та датою. Для незастосовних пунктів зазначайте «Не застосовується» та причину. Чітко відокремлюйте оцінки від вимірян"/>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Інструкція із заповнення</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Заповніть усі застосовні поля. Посилайтеся на докази за назвою документа, видавцем, номером, редакцією та датою. Для незастосовних пунктів зазначайте «Не застосовується» та причину. Чітко відокремлюйте оцінки від виміряних або затверджених даних. OLYELECTRA може запросити уточнення, посилену належну перевірку або обмін через захищену кімнату даних.</w:t>
            </w:r>
          </w:p>
        </w:tc>
      </w:tr>
    </w:tbl>
    <w:tbl>
      <w:tblPr>
        <w:tblW w:type="dxa" w:w="10106"/>
        <w:jc w:val="center"/>
        <w:tblLayout w:type="fixed"/>
        <w:tblLook w:firstColumn="1" w:firstRow="1" w:lastColumn="0" w:lastRow="0" w:noHBand="0" w:noVBand="1" w:val="04A0"/>
        <w:tblInd w:w="120" w:type="dxa"/>
        <w:tblCaption w:val="Конфіденційність і безпечна передача документів"/>
        <w:tblDescription w:val="Не надсилайте облікові дані, детальні моделі чи налаштування мережі, схеми критичної інфраструктури, документи, що посвідчують особу, захищені персональні дані або комерційно обмежену інформацію звичайною електронною пош"/>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Конфіденційність і безпечна передача документів</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Не надсилайте облікові дані, детальні моделі чи налаштування мережі, схеми критичної інфраструктури, документи, що посвідчують особу, захищені персональні дані або комерційно обмежену інформацію звичайною електронною поштою чи через публічну вебформу. До погодження захищеного каналу та одержувачів надавайте лише посилання на документи.</w:t>
            </w:r>
          </w:p>
          <w:p>
            <w:pPr>
              <w:spacing w:before="60" w:after="0" w:line="240" w:lineRule="auto"/>
              <w:jc w:val="left"/>
            </w:pPr>
            <w:hyperlink r:id="rId11">
              <w:r>
                <w:rPr>
                  <w:color w:val="166534"/>
                  <w:u w:val="single"/>
                </w:rPr>
                <w:t>Ознайомитися з Повідомленням OLYVENRA про конфіденційність</w:t>
              </w:r>
            </w:hyperlink>
          </w:p>
        </w:tc>
      </w:tr>
    </w:tbl>
    <w:tbl>
      <w:tblPr>
        <w:tblW w:type="dxa" w:w="10106"/>
        <w:jc w:val="center"/>
        <w:tblLayout w:type="fixed"/>
        <w:tblLook w:firstColumn="1" w:firstRow="1" w:lastColumn="0" w:lastRow="0" w:noHBand="0" w:noVBand="1" w:val="04A0"/>
        <w:tblInd w:w="120" w:type="dxa"/>
        <w:tblCaption w:val="Межі повноважень, безпеки та доказів проєкту"/>
        <w:tblDescription w:val="Ця форма не є офертою, інженерним або мережевим погодженням, дозволом, сертифікацією продукції, гарантією виробітку чи економії, зобов’язанням щодо фінансування, юридичною консультацією або обов’язком укласти правочин. Р"/>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uk-UA" w:eastAsia="uk-UA" w:bidi="uk-UA"/>
              </w:rPr>
              <w:t>Межі повноважень, безпеки та доказів проєкту</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uk-UA" w:eastAsia="uk-UA" w:bidi="uk-UA"/>
              </w:rPr>
              <w:t>Ця форма не є офертою, інженерним або мережевим погодженням, дозволом, сертифікацією продукції, гарантією виробітку чи економії, зобов’язанням щодо фінансування, юридичною консультацією або обов’язком укласти правочин. Рішення ухвалюють компетентні сторони на підставі доказів для конкретного проєкту.</w:t>
            </w:r>
          </w:p>
        </w:tc>
      </w:tr>
    </w:tbl>
    <w:p>
      <w:pPr>
        <w:pStyle w:val="Heading1"/>
        <w:keepNext/>
        <w:spacing w:before="160" w:after="80" w:line="240" w:lineRule="auto"/>
        <w:jc w:val="left"/>
      </w:pPr>
      <w:r>
        <w:rPr>
          <w:rFonts w:ascii="Arial" w:hAnsi="Arial" w:eastAsia="Arial" w:cs="Arial"/>
          <w:b/>
          <w:color w:val="166534"/>
          <w:sz w:val="25"/>
          <w:lang w:val="uk-UA" w:eastAsia="uk-UA" w:bidi="uk-UA"/>
        </w:rPr>
        <w:t>Юридична особа, право власності та роль доставки</w:t>
      </w:r>
    </w:p>
    <w:tbl>
      <w:tblPr>
        <w:tblW w:type="dxa" w:w="10106"/>
        <w:jc w:val="center"/>
        <w:tblLayout w:type="fixed"/>
        <w:tblLook w:firstColumn="1" w:firstRow="1" w:lastColumn="0" w:lastRow="0" w:noHBand="0" w:noVBand="1" w:val="04A0"/>
        <w:tblInd w:w="120" w:type="dxa"/>
        <w:tblCaption w:val="Юридична особа, право власності та роль доставки"/>
        <w:tblDescription w:val="Юридична особа, право власності та роль доставки: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Повне юридичне найменування, комерційне найменування та тип організації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вне юридичне найменування, комерційне найменування та тип організації"/>
                <w:tag w:val="olyelectra.v2.due-diligence-questionnaire.uk.company.legal_name"/>
                <w:id w:val="45529927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Реєстраційний номер, країна, податковий статус і юридична адреса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єстраційний номер, країна, податковий статус і юридична адреса"/>
                <w:tag w:val="olyelectra.v2.due-diligence-questionnaire.uk.company.registration"/>
                <w:id w:val="164554489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Корпоративний веб-сайт і публічний профіль, який можна перевірити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рпоративний веб-сайт і публічний профіль, який можна перевірити"/>
                <w:tag w:val="olyelectra.v2.due-diligence-questionnaire.uk.company.website"/>
                <w:id w:val="27173666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Авторизований контакт: ім’я, посада, відділ, електронна адреса та телефон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вторизований контакт: ім’я, посада, відділ, електронна адреса та телефон"/>
                <w:tag w:val="olyelectra.v2.due-diligence-questionnaire.uk.company.contact"/>
                <w:id w:val="175664582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OEM, розробник, EPC, інсталятор, інтегратор, дистриб’ютор, O&amp;M, програмне забезпечення або роль радника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EM, розробник, EPC, інсталятор, інтегратор, дистриб’ютор, O&amp;M, програмне забезпечення або роль радника"/>
                <w:tag w:val="olyelectra.v2.due-diligence-questionnaire.uk.company.supplier_role"/>
                <w:id w:val="71582607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Сімейства технологій і послуг, рейтинги, програми та виключення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імейства технологій і послуг, рейтинги, програми та виключення"/>
                <w:tag w:val="olyelectra.v2.due-diligence-questionnaire.uk.company.product_scope"/>
                <w:id w:val="138457210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Дозволені території, призначення каналів і обмеження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озволені території, призначення каналів і обмеження"/>
                <w:tag w:val="olyelectra.v2.due-diligence-questionnaire.uk.company.territories"/>
                <w:id w:val="70603664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Власність, управління та публічно-службова експозиція</w:t>
      </w:r>
    </w:p>
    <w:tbl>
      <w:tblPr>
        <w:tblW w:type="dxa" w:w="10106"/>
        <w:jc w:val="center"/>
        <w:tblLayout w:type="fixed"/>
        <w:tblLook w:firstColumn="1" w:firstRow="1" w:lastColumn="0" w:lastRow="0" w:noHBand="0" w:noVBand="1" w:val="04A0"/>
        <w:tblInd w:w="120" w:type="dxa"/>
        <w:tblCaption w:val="Власність, управління та публічно-службова експозиція"/>
        <w:tblDescription w:val="Власність, управління та публічно-службова експозиція: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Кінцеві бенефіціарні власники, відсотки та державна власність/контроль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інцеві бенефіціарні власники, відсотки та державна власність/контроль"/>
                <w:tag w:val="olyelectra.v2.due-diligence-questionnaire.uk.ownership.ownership"/>
                <w:id w:val="30371965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Директори, посадові особи, уповноважені особи та відповідальність керівництва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иректори, посадові особи, уповноважені особи та відповідальність керівництва"/>
                <w:tag w:val="olyelectra.v2.due-diligence-questionnaire.uk.ownership.directors"/>
                <w:id w:val="39286510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Політично відомі особи, державні службовці та зв'язки з урядом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літично відомі особи, державні службовці та зв'язки з урядом"/>
                <w:tag w:val="olyelectra.v2.due-diligence-questionnaire.uk.ownership.pep"/>
                <w:id w:val="100910982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Реальні або потенційні конфлікти, державно-службові відносини та відносини пов’язаних осіб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альні або потенційні конфлікти, державно-службові відносини та відносини пов’язаних осіб"/>
                <w:tag w:val="olyelectra.v2.due-diligence-questionnaire.uk.ownership.conflicts"/>
                <w:id w:val="48743741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Питання фінансового стану, неплатоспроможності, безперервної діяльності та матеріального кредиту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итання фінансового стану, неплатоспроможності, безперервної діяльності та матеріального кредиту"/>
                <w:tag w:val="olyelectra.v2.due-diligence-questionnaire.uk.ownership.financial"/>
                <w:id w:val="201444893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Суттєві судові процеси, розслідування, примусове виконання, позбавлення прав і негативні ЗМІ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уттєві судові процеси, розслідування, примусове виконання, позбавлення прав і негативні ЗМІ"/>
                <w:tag w:val="olyelectra.v2.due-diligence-questionnaire.uk.ownership.adverse_media"/>
                <w:id w:val="85697690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Пропоновані відносини, платежі та конфлікти</w:t>
      </w:r>
    </w:p>
    <w:tbl>
      <w:tblPr>
        <w:tblW w:type="dxa" w:w="10106"/>
        <w:jc w:val="center"/>
        <w:tblLayout w:type="fixed"/>
        <w:tblLook w:firstColumn="1" w:firstRow="1" w:lastColumn="0" w:lastRow="0" w:noHBand="0" w:noVBand="1" w:val="04A0"/>
        <w:tblInd w:w="120" w:type="dxa"/>
        <w:tblCaption w:val="Пропоновані відносини, платежі та конфлікти"/>
        <w:tblDescription w:val="Пропоновані відносини, платежі та конфлікти: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Запропонована роль, територія, клієнти, проєкт і комерційні очікування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ропонована роль, територія, клієнти, проєкт і комерційні очікування"/>
                <w:tag w:val="olyelectra.v2.due-diligence-questionnaire.uk.business.relationship"/>
                <w:id w:val="91195630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Назва проєкту або портфоліо та внутрішні посилання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азва проєкту або портфоліо та внутрішні посилання"/>
                <w:tag w:val="olyelectra.v2.due-diligence-questionnaire.uk.business.project_name"/>
                <w:id w:val="32809165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Запитана роль від OLYELECTRA та очікувані результати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итана роль від OLYELECTRA та очікувані результати"/>
                <w:tag w:val="olyelectra.v2.due-diligence-questionnaire.uk.business.requested_role"/>
                <w:id w:val="142102307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Агенти, брокери, комісійні, гонорари за успіх і одержувачі платежів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генти, брокери, комісійні, гонорари за успіх і одержувачі платежів"/>
                <w:tag w:val="olyelectra.v2.due-diligence-questionnaire.uk.business.fees"/>
                <w:id w:val="159677469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Країна банку, збіг імені рахунку, валюти та обмеження щодо платежів третіх сторін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аїна банку, збіг імені рахунку, валюти та обмеження щодо платежів третіх сторін"/>
                <w:tag w:val="olyelectra.v2.due-diligence-questionnaire.uk.business.payments"/>
                <w:id w:val="178361640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Делікатність матеріалів, попередні умови, залежності та принципи розподілу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елікатність матеріалів, попередні умови, залежності та принципи розподілу"/>
                <w:tag w:val="olyelectra.v2.due-diligence-questionnaire.uk.business.commercial_risks"/>
                <w:id w:val="10037530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Порядність, санкції, фінансовий стан та інформаційна безпека</w:t>
      </w:r>
    </w:p>
    <w:tbl>
      <w:tblPr>
        <w:tblW w:type="dxa" w:w="10106"/>
        <w:jc w:val="center"/>
        <w:tblLayout w:type="fixed"/>
        <w:tblLook w:firstColumn="1" w:firstRow="1" w:lastColumn="0" w:lastRow="0" w:noHBand="0" w:noVBand="1" w:val="04A0"/>
        <w:tblInd w:w="120" w:type="dxa"/>
        <w:tblCaption w:val="Порядність, санкції, фінансовий стан та інформаційна безпека"/>
        <w:tblDescription w:val="Порядність, санкції, фінансовий стан та інформаційна безпека: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Санкції, відсторонення, контроль за дотриманням вимог щодо експорту/імпорту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анкції, відсторонення, контроль за дотриманням вимог щодо експорту/імпорту"/>
                <w:tag w:val="olyelectra.v2.due-diligence-questionnaire.uk.integrity.sanctions"/>
                <w:id w:val="91596432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Боротьба з хабарництвом, подарунки, виплати за сприяння та сторонні засоби контролю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оротьба з хабарництвом, подарунки, виплати за сприяння та сторонні засоби контролю"/>
                <w:tag w:val="olyelectra.v2.due-diligence-questionnaire.uk.integrity.anti_bribery"/>
                <w:id w:val="9555224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Реальні або потенційні конфлікти, державно-службові відносини та відносини пов’язаних осіб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альні або потенційні конфлікти, державно-службові відносини та відносини пов’язаних осіб"/>
                <w:tag w:val="olyelectra.v2.due-diligence-questionnaire.uk.integrity.conflicts"/>
                <w:id w:val="88417376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Інциденти, пов’язані з якістю матеріалів, безпекою, навколишнім середовищем, роботою, кібернетичними засобами чи постачанням за п’ять років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Інциденти, пов’язані з якістю матеріалів, безпекою, навколишнім середовищем, роботою, кібернетичними засобами чи постачанням за п’ять років"/>
                <w:tag w:val="olyelectra.v2.due-diligence-questionnaire.uk.integrity.incident_history"/>
                <w:id w:val="193005718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Структура інформаційної безпеки, інциденти та контроль даних критичної інфраструктури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труктура інформаційної безпеки, інциденти та контроль даних критичної інфраструктури"/>
                <w:tag w:val="olyelectra.v2.due-diligence-questionnaire.uk.integrity.information_security"/>
                <w:id w:val="143225976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Право власності на дані, країни розміщення, вимоги до конфіденційності, збереження та безпечної передачі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аво власності на дані, країни розміщення, вимоги до конфіденційності, збереження та безпечної передачі"/>
                <w:tag w:val="olyelectra.v2.due-diligence-questionnaire.uk.integrity.data"/>
                <w:id w:val="102755778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Екологічна, соціальна, трудова та належна перевірка ланцюга постачання</w:t>
      </w:r>
    </w:p>
    <w:tbl>
      <w:tblPr>
        <w:tblW w:type="dxa" w:w="10106"/>
        <w:jc w:val="center"/>
        <w:tblLayout w:type="fixed"/>
        <w:tblLook w:firstColumn="1" w:firstRow="1" w:lastColumn="0" w:lastRow="0" w:noHBand="0" w:noVBand="1" w:val="04A0"/>
        <w:tblInd w:w="120" w:type="dxa"/>
        <w:tblCaption w:val="Екологічна, соціальна, трудова та належна перевірка ланцюга постачання"/>
        <w:tblDescription w:val="Екологічна, соціальна, трудова та належна перевірка ланцюга постачання: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Карта критичного ланцюга поставок, країни, окремі джерела та показники стійкості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арта критичного ланцюга поставок, країни, окремі джерела та показники стійкості"/>
                <w:tag w:val="olyelectra.v2.due-diligence-questionnaire.uk.esg.supply_chain_map"/>
                <w:id w:val="115435756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Країна походження, видимість номенклатури матеріалів і концентрація ланцюга постачання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аїна походження, видимість номенклатури матеріалів і концентрація ланцюга постачання"/>
                <w:tag w:val="olyelectra.v2.due-diligence-questionnaire.uk.esg.origin"/>
                <w:id w:val="32478043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Акумуляторна/важлива перевірка корисних копалин, ланцюжок постачання та підхід до управління ризиками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кумуляторна/важлива перевірка корисних копалин, ланцюжок постачання та підхід до управління ризиками"/>
                <w:tag w:val="olyelectra.v2.due-diligence-questionnaire.uk.esg.minerals"/>
                <w:id w:val="23114179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Трудові стандарти, примусова/дитяча праця, добробут працівників і контроль над скаргами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рудові стандарти, примусова/дитяча праця, добробут працівників і контроль над скаргами"/>
                <w:tag w:val="olyelectra.v2.due-diligence-questionnaire.uk.esg.labour"/>
                <w:id w:val="83048512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Належна обачність у сфері прав людини, скарги, виправлення та процес ескалації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алежна обачність у сфері прав людини, скарги, виправлення та процес ескалації"/>
                <w:tag w:val="olyelectra.v2.due-diligence-questionnaire.uk.esg.human_rights"/>
                <w:id w:val="89266548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Контроль ризиків щодо землі, громади, корінного населення, культурної спадщини та зацікавлених сторін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троль ризиків щодо землі, громади, корінного населення, культурної спадщини та зацікавлених сторін"/>
                <w:tag w:val="olyelectra.v2.due-diligence-questionnaire.uk.esg.community_impacts"/>
                <w:id w:val="148212011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Біорізноманіття, вода, дренаж, шум, візуальні обмеження, обмеження відходів і забруднення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іорізноманіття, вода, дренаж, шум, візуальні обмеження, обмеження відходів і забруднення"/>
                <w:tag w:val="olyelectra.v2.due-diligence-questionnaire.uk.esg.environment"/>
                <w:id w:val="185143177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Вуглецевий слід продукту, EPD/LCA або інші екологічні докази та методологія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углецевий слід продукту, EPD/LCA або інші екологічні докази та методологія"/>
                <w:tag w:val="olyelectra.v2.due-diligence-questionnaire.uk.esg.carbon"/>
                <w:id w:val="106182037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Відповідальність виробника, повернення, переробка та контроль партнерів з утилізації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ідповідальність виробника, повернення, переробка та контроль партнерів з утилізації"/>
                <w:tag w:val="olyelectra.v2.due-diligence-questionnaire.uk.esg.waste"/>
                <w:id w:val="115811076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Управління безпекою продуктів і робочого місця, історія інцидентів і підтримка в екстрених ситуаціях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равління безпекою продуктів і робочого місця, історія інцидентів і підтримка в екстрених ситуаціях"/>
                <w:tag w:val="olyelectra.v2.due-diligence-questionnaire.uk.esg.health_safety"/>
                <w:id w:val="27432642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Якість, докази продукту та контроль конфігурації</w:t>
      </w:r>
    </w:p>
    <w:tbl>
      <w:tblPr>
        <w:tblW w:type="dxa" w:w="10106"/>
        <w:jc w:val="center"/>
        <w:tblLayout w:type="fixed"/>
        <w:tblLook w:firstColumn="1" w:firstRow="1" w:lastColumn="0" w:lastRow="0" w:noHBand="0" w:noVBand="1" w:val="04A0"/>
        <w:tblInd w:w="120" w:type="dxa"/>
        <w:tblCaption w:val="Якість, докази продукту та контроль конфігурації"/>
        <w:tblDescription w:val="Якість, докази продукту та контроль конфігурації: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Сфера застосування системи управління якістю, сертифікат, орган, що видав, і охоплення території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фера застосування системи управління якістю, сертифікат, орган, що видав, і охоплення території"/>
                <w:tag w:val="olyelectra.v2.due-diligence-questionnaire.uk.quality.qms"/>
                <w:id w:val="79264243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Базовий рівень продукту, версія BOM/програмного забезпечення, повноваження на проєктування та повідомлення про зміни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азовий рівень продукту, версія BOM/програмного забезпечення, повноваження на проєктування та повідомлення про зміни"/>
                <w:tag w:val="olyelectra.v2.due-diligence-questionnaire.uk.quality.configuration"/>
                <w:id w:val="143474046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Генеалогія серій, партій, партій і компонентів, а також термін зберігання записів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Генеалогія серій, партій, партій і компонентів, а також термін зберігання записів"/>
                <w:tag w:val="olyelectra.v2.due-diligence-questionnaire.uk.quality.traceability"/>
                <w:id w:val="105782719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Невідповідність, поступка/відхилення, CAPA та процес сповіщення клієнтів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евідповідність, поступка/відхилення, CAPA та процес сповіщення клієнтів"/>
                <w:tag w:val="olyelectra.v2.due-diligence-questionnaire.uk.quality.nonconformance"/>
                <w:id w:val="7980069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Скарга, інцидент з безпекою, дії на місцях, процес відкликання та нормативного повідомлення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карга, інцидент з безпекою, дії на місцях, процес відкликання та нормативного повідомлення"/>
                <w:tag w:val="olyelectra.v2.due-diligence-questionnaire.uk.quality.complaints"/>
                <w:id w:val="66282836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Порівняльні експлуатаційні довідники з моделлю, потужністю, сайтом і датою експлуатації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рівняльні експлуатаційні довідники з моделлю, потужністю, сайтом і датою експлуатації"/>
                <w:tag w:val="olyelectra.v2.due-diligence-questionnaire.uk.quality.reference_projects"/>
                <w:id w:val="103020703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Гарантійний період, тригер, виключення, засоби правового захисту, безпека та адміністрування претензій</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Гарантійний період, тригер, виключення, засоби правового захисту, безпека та адміністрування претензій"/>
                <w:tag w:val="olyelectra.v2.due-diligence-questionnaire.uk.quality.warranty_terms"/>
                <w:id w:val="9266460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Контрольний список підтверджуючих доказів</w:t>
      </w:r>
    </w:p>
    <w:tbl>
      <w:tblPr>
        <w:tblW w:type="dxa" w:w="10106"/>
        <w:jc w:val="center"/>
        <w:tblLayout w:type="fixed"/>
        <w:tblLook w:firstColumn="1" w:firstRow="1" w:lastColumn="0" w:lastRow="0" w:noHBand="0" w:noVBand="1" w:val="04A0"/>
        <w:tblInd w:w="120" w:type="dxa"/>
        <w:tblCaption w:val="Контрольний список підтверджуючих доказів"/>
        <w:tblDescription w:val="Контрольний список підтверджуючих доказів: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Підтвердження реєстрації, податку, зареєстрованої адреси та уповноваженого підпису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ідтвердження реєстрації, податку, зареєстрованої адреси та уповноваженого підпису"/>
                <w:tag w:val="olyelectra.v2.due-diligence-questionnaire.uk.evidence.registration_evidence"/>
                <w:id w:val="13336081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Свідоцтво власності та свідчення бенефіціарного власника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відоцтво власності та свідчення бенефіціарного власника"/>
                <w:tag w:val="olyelectra.v2.due-diligence-questionnaire.uk.evidence.ownership_evidence"/>
                <w:id w:val="34889789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Сертифікати, підсумки аудиту, звіти про випробування та докази відповідності продукції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ертифікати, підсумки аудиту, звіти про випробування та докази відповідності продукції"/>
                <w:tag w:val="olyelectra.v2.due-diligence-questionnaire.uk.evidence.quality_evidence"/>
                <w:id w:val="197801462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Референсний список, докази приймання, історія гарантій/претензій та записи про виконання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ференсний список, докази приймання, історія гарантій/претензій та записи про виконання"/>
                <w:tag w:val="olyelectra.v2.due-diligence-questionnaire.uk.evidence.project_evidence"/>
                <w:id w:val="69035746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Чесність, санкції, праця, стійкість, пошук джерел, HSE та кіберполітика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Чесність, санкції, праця, стійкість, пошук джерел, HSE та кіберполітика"/>
                <w:tag w:val="olyelectra.v2.due-diligence-questionnaire.uk.evidence.policy_evidence"/>
                <w:id w:val="173325493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Діючі страхові свідоцтва та матеріальні обмеження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іючі страхові свідоцтва та матеріальні обмеження"/>
                <w:tag w:val="olyelectra.v2.due-diligence-questionnaire.uk.evidence.insurance_evidence"/>
                <w:id w:val="169950942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Порівнянні робочі посилання на проєкт, країну, потужність, вік і маршрут контакту з клієнтом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рівнянні робочі посилання на проєкт, країну, потужність, вік і маршрут контакту з клієнтом"/>
                <w:tag w:val="olyelectra.v2.due-diligence-questionnaire.uk.evidence.references"/>
                <w:id w:val="184523177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Декларація та авторизований підпис</w:t>
      </w:r>
    </w:p>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Підтверджую, що інформація є повною й точною, наскільки мені відомо, що я уповноважений(а) її подати та що організація невідкладно повідомить про істотні зміни. Розумію, що подання форми не створює погодження, призначенн"/>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uk-UA" w:eastAsia="uk-UA" w:bidi="uk-UA"/>
              </w:rPr>
              <w:t>Декларація та авторизований підпис</w:t>
            </w:r>
          </w:p>
        </w:tc>
      </w:tr>
      <w:tr>
        <w:trPr>
          <w:trHeight w:hRule="atLeast"/>
          <w:cantSplit/>
        </w:trPr>
        <w:tc>
          <w:tcPr>
            <w:tcW w:type="dxa" w:w="10106"/>
            <w:tcMar>
              <w:top w:w="90" w:type="dxa"/>
              <w:start w:w="120" w:type="dxa"/>
              <w:bottom w:w="90" w:type="dxa"/>
              <w:end w:w="120" w:type="dxa"/>
            </w:tcMar>
            <w:vAlign w:val="center"/>
            <w:shd w:fill="ECFDF3" w:val="clear"/>
          </w:tcPr>
          <w:p>
            <w:pPr>
              <w:keepNext/>
              <w:spacing w:before="0" w:after="0" w:line="252" w:lineRule="auto"/>
              <w:jc w:val="left"/>
            </w:pPr>
            <w:r/>
            <w:r>
              <w:rPr>
                <w:rFonts w:ascii="Arial" w:hAnsi="Arial" w:eastAsia="Arial" w:cs="Arial"/>
                <w:color w:val="102334"/>
                <w:sz w:val="17"/>
                <w:lang w:val="uk-UA" w:eastAsia="uk-UA" w:bidi="uk-UA"/>
              </w:rPr>
              <w:t>Підтверджую, що інформація є повною й точною, наскільки мені відомо, що я уповноважений(а) її подати та що організація невідкладно повідомить про істотні зміни. Розумію, що подання форми не створює погодження, призначення, конфіденційності, наявності, виключності, сертифікації, здійсненності проєкту або обов’язку укласти правочин.</w:t>
            </w:r>
          </w:p>
        </w:tc>
      </w:tr>
    </w:tbl>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Декларація та авторизований підпис: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Уповноважений декларант: П.І.Б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вноважений декларант: П.І.Б"/>
                <w:tag w:val="olyelectra.v2.due-diligence-questionnaire.uk.declaration.declaration_name"/>
                <w:id w:val="50508227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Посада та організація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сада та організація"/>
                <w:tag w:val="olyelectra.v2.due-diligence-questionnaire.uk.declaration.declaration_title"/>
                <w:id w:val="206605789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Основа повноважень для подання цієї форми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нова повноважень для подання цієї форми"/>
                <w:tag w:val="olyelectra.v2.due-diligence-questionnaire.uk.declaration.declaration_basis"/>
                <w:id w:val="161207646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Підпис</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ідпис"/>
                <w:tag w:val="olyelectra.v2.due-diligence-questionnaire.uk.declaration.signature"/>
                <w:id w:val="213413198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Дата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ата"/>
                <w:tag w:val="olyelectra.v2.due-diligence-questionnaire.uk.declaration.date"/>
                <w:id w:val="29536271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uk-UA" w:eastAsia="uk-UA" w:bidi="uk-UA"/>
            </w:rPr>
            <w:t>OLYE-FRM-DDQ-001 · V2.0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uk-UA" w:eastAsia="uk-UA" w:bidi="uk-UA"/>
            </w:rPr>
            <w:t>Контрольована ділова форма під час електронного перегляду</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uk-UA" w:eastAsia="uk-UA" w:bidi="uk-UA"/>
            </w:rPr>
            <w:t xml:space="preserve">Сторінка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PAGE</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r>
            <w:rPr>
              <w:rFonts w:ascii="Arial" w:hAnsi="Arial" w:eastAsia="Arial" w:cs="Arial"/>
              <w:color w:val="526577"/>
              <w:sz w:val="15"/>
              <w:lang w:val="uk-UA" w:eastAsia="uk-UA" w:bidi="uk-UA"/>
            </w:rPr>
            <w:t xml:space="preserve"> /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NUMPAGES</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ELECTRA document header"/>
      <w:tblDescription w:val="OLYELECTR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ELECTRA wordmark" descr="OLYELECTRA wordmark"/>
                <wp:cNvGraphicFramePr>
                  <a:graphicFrameLocks noChangeAspect="1"/>
                </wp:cNvGraphicFramePr>
                <a:graphic>
                  <a:graphicData uri="http://schemas.openxmlformats.org/drawingml/2006/picture">
                    <pic:pic>
                      <pic:nvPicPr>
                        <pic:cNvPr id="0" name="olyelectr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uk-UA" w:eastAsia="uk-UA" w:bidi="uk-UA"/>
            </w:rPr>
            <w:t>ВІДНОВЛЮВАНА ЕНЕРГЕТИКА, НАКОПИЧЕННЯ ТА ЕЛЕКТРИФІКАЦІЯ</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uk-UA" w:eastAsia="uk-UA" w:bidi="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166534"/>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uk&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Анкета належної перевірки енергетичного контрагента</dc:title>
  <dc:subject>Аналіз ідентичності, цілісності, фінансів, ланцюга поставок, екологічної/соціальної та інформаційної безпеки</dc:subject>
  <dc:creator/>
  <cp:keywords>OLYELECTRA, renewable energy, energy storage, grid, due diligence, document control</cp:keywords>
  <dc:description>Controlled OLYELECTRA form OLYE-FRM-DDQ-001 V2.0.</dc:description>
  <cp:lastModifiedBy/>
  <cp:revision>1</cp:revision>
  <dcterms:created xsi:type="dcterms:W3CDTF">2013-12-23T23:15:00Z</dcterms:created>
  <dcterms:modified xsi:type="dcterms:W3CDTF">2013-12-23T23:15:00Z</dcterms:modified>
  <cp:category/>
</cp:coreProperties>
</file>