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before="0" w:after="40" w:line="240" w:lineRule="auto"/>
        <w:jc w:val="left"/>
      </w:pPr>
      <w:r>
        <w:rPr>
          <w:rFonts w:ascii="Arial" w:hAnsi="Arial" w:eastAsia="Arial" w:cs="Arial"/>
          <w:b/>
          <w:color w:val="051C2B"/>
          <w:sz w:val="42"/>
          <w:lang w:val="en-GB" w:eastAsia="en-GB" w:bidi="en-GB"/>
        </w:rPr>
        <w:t>Renewable Project Requirement Form</w:t>
      </w:r>
    </w:p>
    <w:p>
      <w:pPr>
        <w:pStyle w:val="Subtitle"/>
        <w:spacing w:before="0" w:after="140" w:line="240" w:lineRule="auto"/>
        <w:jc w:val="left"/>
      </w:pPr>
      <w:r>
        <w:rPr>
          <w:rFonts w:ascii="Arial" w:hAnsi="Arial" w:eastAsia="Arial" w:cs="Arial"/>
          <w:color w:val="526577"/>
          <w:sz w:val="19"/>
          <w:lang w:val="en-GB" w:eastAsia="en-GB" w:bidi="en-GB"/>
        </w:rPr>
        <w:t>Structured intake for renewable generation, storage, grid and electrification programmes</w:t>
      </w:r>
    </w:p>
    <w:tbl>
      <w:tblPr>
        <w:tblW w:type="dxa" w:w="10106"/>
        <w:jc w:val="center"/>
        <w:tblLayout w:type="fixed"/>
        <w:tblLook w:firstColumn="1" w:firstRow="1" w:lastColumn="0" w:lastRow="0" w:noHBand="0" w:noVBand="1" w:val="04A0"/>
        <w:tblInd w:w="120" w:type="dxa"/>
        <w:tblCaption w:val="Document control"/>
        <w:tblDescription w:val="Document code, version, classification, owner and language."/>
      </w:tblPr>
      <w:tblGrid>
        <w:gridCol w:w="2100"/>
        <w:gridCol w:w="2953"/>
        <w:gridCol w:w="2100"/>
        <w:gridCol w:w="2953"/>
      </w:tblGrid>
      <w:tr>
        <w:trPr>
          <w:trHeight w:hRule="atLeast"/>
          <w:tblHeader/>
          <w:cantSplit/>
        </w:trPr>
        <w:tc>
          <w:tcPr>
            <w:tcW w:type="dxa" w:w="2100"/>
            <w:tcMar>
              <w:top w:w="90" w:type="dxa"/>
              <w:start w:w="120" w:type="dxa"/>
              <w:bottom w:w="90" w:type="dxa"/>
              <w:end w:w="120" w:type="dxa"/>
            </w:tcMar>
            <w:vAlign w:val="center"/>
            <w:shd w:fill="ECFDF3" w:val="clear"/>
          </w:tcPr>
          <w:p>
            <w:pPr>
              <w:spacing w:before="0" w:after="0" w:line="240" w:lineRule="auto"/>
              <w:jc w:val="left"/>
            </w:pPr>
            <w:r/>
            <w:r>
              <w:rPr>
                <w:rFonts w:ascii="Arial" w:hAnsi="Arial" w:eastAsia="Arial" w:cs="Arial"/>
                <w:b/>
                <w:i w:val="0"/>
                <w:color w:val="166534"/>
                <w:sz w:val="16"/>
                <w:lang w:val="en-GB" w:eastAsia="en-GB" w:bidi="en-GB"/>
              </w:rPr>
              <w:t>Document code</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en-GB" w:eastAsia="en-GB" w:bidi="en-GB"/>
              </w:rPr>
              <w:t>OLYE-FRM-RPR-001</w:t>
            </w:r>
          </w:p>
        </w:tc>
        <w:tc>
          <w:tcPr>
            <w:tcW w:type="dxa" w:w="2100"/>
            <w:tcMar>
              <w:top w:w="90" w:type="dxa"/>
              <w:start w:w="120" w:type="dxa"/>
              <w:bottom w:w="90" w:type="dxa"/>
              <w:end w:w="120" w:type="dxa"/>
            </w:tcMar>
            <w:vAlign w:val="center"/>
            <w:shd w:fill="ECFDF3" w:val="clear"/>
          </w:tcPr>
          <w:p>
            <w:pPr>
              <w:spacing w:before="0" w:after="0" w:line="240" w:lineRule="auto"/>
              <w:jc w:val="left"/>
            </w:pPr>
            <w:r/>
            <w:r>
              <w:rPr>
                <w:rFonts w:ascii="Arial" w:hAnsi="Arial" w:eastAsia="Arial" w:cs="Arial"/>
                <w:b/>
                <w:i w:val="0"/>
                <w:color w:val="166534"/>
                <w:sz w:val="16"/>
                <w:lang w:val="en-GB" w:eastAsia="en-GB" w:bidi="en-GB"/>
              </w:rPr>
              <w:t>Version / effective date</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en-GB" w:eastAsia="en-GB" w:bidi="en-GB"/>
              </w:rPr>
              <w:t>2.0 / 2 August 2026</w:t>
            </w:r>
          </w:p>
        </w:tc>
      </w:tr>
      <w:tr>
        <w:trPr>
          <w:trHeight w:hRule="atLeast"/>
          <w:cantSplit/>
        </w:trPr>
        <w:tc>
          <w:tcPr>
            <w:tcW w:type="dxa" w:w="2100"/>
            <w:tcMar>
              <w:top w:w="90" w:type="dxa"/>
              <w:start w:w="120" w:type="dxa"/>
              <w:bottom w:w="90" w:type="dxa"/>
              <w:end w:w="120" w:type="dxa"/>
            </w:tcMar>
            <w:vAlign w:val="center"/>
            <w:shd w:fill="ECFDF3" w:val="clear"/>
          </w:tcPr>
          <w:p>
            <w:pPr>
              <w:spacing w:before="0" w:after="0" w:line="240" w:lineRule="auto"/>
              <w:jc w:val="left"/>
            </w:pPr>
            <w:r/>
            <w:r>
              <w:rPr>
                <w:rFonts w:ascii="Arial" w:hAnsi="Arial" w:eastAsia="Arial" w:cs="Arial"/>
                <w:b/>
                <w:i w:val="0"/>
                <w:color w:val="166534"/>
                <w:sz w:val="16"/>
                <w:lang w:val="en-GB" w:eastAsia="en-GB" w:bidi="en-GB"/>
              </w:rPr>
              <w:t>Classification</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en-GB" w:eastAsia="en-GB" w:bidi="en-GB"/>
              </w:rPr>
              <w:t>Controlled business form</w:t>
            </w:r>
          </w:p>
        </w:tc>
        <w:tc>
          <w:tcPr>
            <w:tcW w:type="dxa" w:w="2100"/>
            <w:tcMar>
              <w:top w:w="90" w:type="dxa"/>
              <w:start w:w="120" w:type="dxa"/>
              <w:bottom w:w="90" w:type="dxa"/>
              <w:end w:w="120" w:type="dxa"/>
            </w:tcMar>
            <w:vAlign w:val="center"/>
            <w:shd w:fill="ECFDF3" w:val="clear"/>
          </w:tcPr>
          <w:p>
            <w:pPr>
              <w:spacing w:before="0" w:after="0" w:line="240" w:lineRule="auto"/>
              <w:jc w:val="left"/>
            </w:pPr>
            <w:r/>
            <w:r>
              <w:rPr>
                <w:rFonts w:ascii="Arial" w:hAnsi="Arial" w:eastAsia="Arial" w:cs="Arial"/>
                <w:b/>
                <w:i w:val="0"/>
                <w:color w:val="166534"/>
                <w:sz w:val="16"/>
                <w:lang w:val="en-GB" w:eastAsia="en-GB" w:bidi="en-GB"/>
              </w:rPr>
              <w:t>Document owner</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en-GB" w:eastAsia="en-GB" w:bidi="en-GB"/>
              </w:rPr>
              <w:t>OLYELECTRA — OLYVENRA LTD</w:t>
            </w:r>
          </w:p>
        </w:tc>
      </w:tr>
      <w:tr>
        <w:trPr>
          <w:trHeight w:hRule="atLeast"/>
          <w:cantSplit/>
        </w:trPr>
        <w:tc>
          <w:tcPr>
            <w:tcW w:type="dxa" w:w="2100"/>
            <w:tcMar>
              <w:top w:w="90" w:type="dxa"/>
              <w:start w:w="120" w:type="dxa"/>
              <w:bottom w:w="90" w:type="dxa"/>
              <w:end w:w="120" w:type="dxa"/>
            </w:tcMar>
            <w:vAlign w:val="center"/>
            <w:shd w:fill="ECFDF3" w:val="clear"/>
          </w:tcPr>
          <w:p>
            <w:pPr>
              <w:spacing w:before="0" w:after="0" w:line="240" w:lineRule="auto"/>
              <w:jc w:val="left"/>
            </w:pPr>
            <w:r/>
            <w:r>
              <w:rPr>
                <w:rFonts w:ascii="Arial" w:hAnsi="Arial" w:eastAsia="Arial" w:cs="Arial"/>
                <w:b/>
                <w:i w:val="0"/>
                <w:color w:val="166534"/>
                <w:sz w:val="16"/>
                <w:lang w:val="en-GB" w:eastAsia="en-GB" w:bidi="en-GB"/>
              </w:rPr>
              <w:t>Language</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en-GB" w:eastAsia="en-GB" w:bidi="en-GB"/>
              </w:rPr>
              <w:t>English</w:t>
            </w:r>
          </w:p>
        </w:tc>
        <w:tc>
          <w:tcPr>
            <w:tcW w:type="dxa" w:w="2100"/>
            <w:tcMar>
              <w:top w:w="90" w:type="dxa"/>
              <w:start w:w="120" w:type="dxa"/>
              <w:bottom w:w="90" w:type="dxa"/>
              <w:end w:w="120" w:type="dxa"/>
            </w:tcMar>
            <w:vAlign w:val="center"/>
            <w:shd w:fill="ECFDF3" w:val="clear"/>
          </w:tcPr>
          <w:p>
            <w:pPr>
              <w:spacing w:before="0" w:after="0" w:line="240" w:lineRule="auto"/>
              <w:jc w:val="left"/>
            </w:pPr>
            <w:r/>
            <w:r>
              <w:rPr>
                <w:rFonts w:ascii="Arial" w:hAnsi="Arial" w:eastAsia="Arial" w:cs="Arial"/>
                <w:b/>
                <w:i w:val="0"/>
                <w:color w:val="166534"/>
                <w:sz w:val="16"/>
                <w:lang w:val="en-GB" w:eastAsia="en-GB" w:bidi="en-GB"/>
              </w:rPr>
              <w:t>Status</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en-GB" w:eastAsia="en-GB" w:bidi="en-GB"/>
              </w:rPr>
              <w:t>Publication-ready / controlled master</w:t>
            </w:r>
          </w:p>
        </w:tc>
      </w:tr>
    </w:tbl>
    <w:tbl>
      <w:tblPr>
        <w:tblW w:type="dxa" w:w="10106"/>
        <w:jc w:val="center"/>
        <w:tblLayout w:type="fixed"/>
        <w:tblLook w:firstColumn="1" w:firstRow="1" w:lastColumn="0" w:lastRow="0" w:noHBand="0" w:noVBand="1" w:val="04A0"/>
        <w:tblInd w:w="120" w:type="dxa"/>
        <w:tblCaption w:val="Purpose"/>
        <w:tblDescription w:val="Use this form to define a non-sensitive energy project requirement. OLYELECTRA reviews sponsor authority, site, resource/load data, grid route, technology, supplier evidence, safety, permitting, commercial assumptions, s"/>
      </w:tblPr>
      <w:tblGrid>
        <w:gridCol w:w="10106"/>
      </w:tblGrid>
      <w:tr>
        <w:trPr>
          <w:trHeight w:hRule="atLeast"/>
          <w:tblHeader/>
          <w:cantSplit/>
        </w:trPr>
        <w:tc>
          <w:tcPr>
            <w:tcW w:type="dxa" w:w="10106"/>
            <w:tcMar>
              <w:top w:w="90" w:type="dxa"/>
              <w:start w:w="120" w:type="dxa"/>
              <w:bottom w:w="90" w:type="dxa"/>
              <w:end w:w="120" w:type="dxa"/>
            </w:tcMar>
            <w:vAlign w:val="center"/>
            <w:shd w:fill="166534" w:val="clear"/>
          </w:tcPr>
          <w:p>
            <w:pPr>
              <w:spacing w:before="0" w:after="0" w:line="240" w:lineRule="auto"/>
              <w:jc w:val="left"/>
            </w:pPr>
            <w:r/>
            <w:r>
              <w:rPr>
                <w:rFonts w:ascii="Arial" w:hAnsi="Arial" w:eastAsia="Arial" w:cs="Arial"/>
                <w:b/>
                <w:i w:val="0"/>
                <w:color w:val="FFFFFF"/>
                <w:sz w:val="18"/>
                <w:lang w:val="en-GB" w:eastAsia="en-GB" w:bidi="en-GB"/>
              </w:rPr>
              <w:t>Purpose</w:t>
            </w:r>
          </w:p>
        </w:tc>
      </w:tr>
      <w:tr>
        <w:trPr>
          <w:trHeight w:hRule="atLeast"/>
          <w:cantSplit/>
        </w:trPr>
        <w:tc>
          <w:tcPr>
            <w:tcW w:type="dxa" w:w="10106"/>
            <w:tcMar>
              <w:top w:w="90" w:type="dxa"/>
              <w:start w:w="120" w:type="dxa"/>
              <w:bottom w:w="90" w:type="dxa"/>
              <w:end w:w="120" w:type="dxa"/>
            </w:tcMar>
            <w:vAlign w:val="center"/>
            <w:shd w:fill="ECFDF3" w:val="clear"/>
          </w:tcPr>
          <w:p>
            <w:pPr>
              <w:spacing w:before="0" w:after="0" w:line="252" w:lineRule="auto"/>
              <w:jc w:val="left"/>
            </w:pPr>
            <w:r/>
            <w:r>
              <w:rPr>
                <w:rFonts w:ascii="Arial" w:hAnsi="Arial" w:eastAsia="Arial" w:cs="Arial"/>
                <w:color w:val="102334"/>
                <w:sz w:val="17"/>
                <w:lang w:val="en-GB" w:eastAsia="en-GB" w:bidi="en-GB"/>
              </w:rPr>
              <w:t>Use this form to define a non-sensitive energy project requirement. OLYELECTRA reviews sponsor authority, site, resource/load data, grid route, technology, supplier evidence, safety, permitting, commercial assumptions, schedule and lifecycle needs before proposing a qualified next step.</w:t>
            </w:r>
          </w:p>
        </w:tc>
      </w:tr>
    </w:tbl>
    <w:tbl>
      <w:tblPr>
        <w:tblW w:type="dxa" w:w="10106"/>
        <w:jc w:val="center"/>
        <w:tblLayout w:type="fixed"/>
        <w:tblLook w:firstColumn="1" w:firstRow="1" w:lastColumn="0" w:lastRow="0" w:noHBand="0" w:noVBand="1" w:val="04A0"/>
        <w:tblInd w:w="120" w:type="dxa"/>
        <w:tblCaption w:val="Completion guidance"/>
        <w:tblDescription w:val="Complete every applicable field. Cite evidence by document title, issuer, number, revision and date. Mark Not applicable with a reason. Separate estimates from measured or approved information. OLYELECTRA may request cla"/>
      </w:tblPr>
      <w:tblGrid>
        <w:gridCol w:w="10106"/>
      </w:tblGrid>
      <w:tr>
        <w:trPr>
          <w:trHeight w:hRule="atLeast"/>
          <w:tblHeader/>
          <w:cantSplit/>
        </w:trPr>
        <w:tc>
          <w:tcPr>
            <w:tcW w:type="dxa" w:w="1010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8"/>
                <w:lang w:val="en-GB" w:eastAsia="en-GB" w:bidi="en-GB"/>
              </w:rPr>
              <w:t>Completion guidance</w:t>
            </w:r>
          </w:p>
        </w:tc>
      </w:tr>
      <w:tr>
        <w:trPr>
          <w:trHeight w:hRule="atLeast"/>
          <w:cantSplit/>
        </w:trPr>
        <w:tc>
          <w:tcPr>
            <w:tcW w:type="dxa" w:w="10106"/>
            <w:tcMar>
              <w:top w:w="90" w:type="dxa"/>
              <w:start w:w="120" w:type="dxa"/>
              <w:bottom w:w="90" w:type="dxa"/>
              <w:end w:w="120" w:type="dxa"/>
            </w:tcMar>
            <w:vAlign w:val="center"/>
            <w:shd w:fill="F3F6F8" w:val="clear"/>
          </w:tcPr>
          <w:p>
            <w:pPr>
              <w:spacing w:before="0" w:after="0" w:line="252" w:lineRule="auto"/>
              <w:jc w:val="left"/>
            </w:pPr>
            <w:r/>
            <w:r>
              <w:rPr>
                <w:rFonts w:ascii="Arial" w:hAnsi="Arial" w:eastAsia="Arial" w:cs="Arial"/>
                <w:color w:val="102334"/>
                <w:sz w:val="17"/>
                <w:lang w:val="en-GB" w:eastAsia="en-GB" w:bidi="en-GB"/>
              </w:rPr>
              <w:t>Complete every applicable field. Cite evidence by document title, issuer, number, revision and date. Mark Not applicable with a reason. Separate estimates from measured or approved information. OLYELECTRA may request clarification, enhanced due diligence or a secure data-room exchange.</w:t>
            </w:r>
          </w:p>
        </w:tc>
      </w:tr>
    </w:tbl>
    <w:tbl>
      <w:tblPr>
        <w:tblW w:type="dxa" w:w="10106"/>
        <w:jc w:val="center"/>
        <w:tblLayout w:type="fixed"/>
        <w:tblLook w:firstColumn="1" w:firstRow="1" w:lastColumn="0" w:lastRow="0" w:noHBand="0" w:noVBand="1" w:val="04A0"/>
        <w:tblInd w:w="120" w:type="dxa"/>
        <w:tblCaption w:val="Privacy and secure document handling"/>
        <w:tblDescription w:val="Do not send credentials, detailed grid models/settings, critical-infrastructure diagrams, personal identity documents, protected personal data or restricted commercial information by ordinary email or the public website "/>
      </w:tblPr>
      <w:tblGrid>
        <w:gridCol w:w="10106"/>
      </w:tblGrid>
      <w:tr>
        <w:trPr>
          <w:trHeight w:hRule="atLeast"/>
          <w:tblHeader/>
          <w:cantSplit/>
        </w:trPr>
        <w:tc>
          <w:tcPr>
            <w:tcW w:type="dxa" w:w="1010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8"/>
                <w:lang w:val="en-GB" w:eastAsia="en-GB" w:bidi="en-GB"/>
              </w:rPr>
              <w:t>Privacy and secure document handling</w:t>
            </w:r>
          </w:p>
        </w:tc>
      </w:tr>
      <w:tr>
        <w:trPr>
          <w:trHeight w:hRule="atLeast"/>
          <w:cantSplit/>
        </w:trPr>
        <w:tc>
          <w:tcPr>
            <w:tcW w:type="dxa" w:w="10106"/>
            <w:tcMar>
              <w:top w:w="90" w:type="dxa"/>
              <w:start w:w="120" w:type="dxa"/>
              <w:bottom w:w="90" w:type="dxa"/>
              <w:end w:w="120" w:type="dxa"/>
            </w:tcMar>
            <w:vAlign w:val="center"/>
            <w:shd w:fill="F3F6F8" w:val="clear"/>
          </w:tcPr>
          <w:p>
            <w:pPr>
              <w:spacing w:before="0" w:after="0" w:line="252" w:lineRule="auto"/>
              <w:jc w:val="left"/>
            </w:pPr>
            <w:r/>
            <w:r>
              <w:rPr>
                <w:rFonts w:ascii="Arial" w:hAnsi="Arial" w:eastAsia="Arial" w:cs="Arial"/>
                <w:color w:val="102334"/>
                <w:sz w:val="17"/>
                <w:lang w:val="en-GB" w:eastAsia="en-GB" w:bidi="en-GB"/>
              </w:rPr>
              <w:t>Do not send credentials, detailed grid models/settings, critical-infrastructure diagrams, personal identity documents, protected personal data or restricted commercial information by ordinary email or the public website form. Provide document references until an approved secure channel and authorised recipients are confirmed.</w:t>
            </w:r>
          </w:p>
          <w:p>
            <w:pPr>
              <w:spacing w:before="60" w:after="0" w:line="240" w:lineRule="auto"/>
              <w:jc w:val="left"/>
            </w:pPr>
            <w:hyperlink r:id="rId11">
              <w:r>
                <w:rPr>
                  <w:color w:val="166534"/>
                  <w:u w:val="single"/>
                </w:rPr>
                <w:t>Read the OLYVENRA Privacy Notice</w:t>
              </w:r>
            </w:hyperlink>
          </w:p>
        </w:tc>
      </w:tr>
    </w:tbl>
    <w:tbl>
      <w:tblPr>
        <w:tblW w:type="dxa" w:w="10106"/>
        <w:jc w:val="center"/>
        <w:tblLayout w:type="fixed"/>
        <w:tblLook w:firstColumn="1" w:firstRow="1" w:lastColumn="0" w:lastRow="0" w:noHBand="0" w:noVBand="1" w:val="04A0"/>
        <w:tblInd w:w="120" w:type="dxa"/>
        <w:tblCaption w:val="Project authority, safety and evidence boundary"/>
        <w:tblDescription w:val="This form is not an offer, engineering approval, grid approval, permit, product certification, yield or savings guarantee, financing commitment, legal advice or obligation to transact. Technical, safety, environmental, f"/>
      </w:tblPr>
      <w:tblGrid>
        <w:gridCol w:w="10106"/>
      </w:tblGrid>
      <w:tr>
        <w:trPr>
          <w:trHeight w:hRule="atLeast"/>
          <w:tblHeader/>
          <w:cantSplit/>
        </w:trPr>
        <w:tc>
          <w:tcPr>
            <w:tcW w:type="dxa" w:w="10106"/>
            <w:tcMar>
              <w:top w:w="90" w:type="dxa"/>
              <w:start w:w="120" w:type="dxa"/>
              <w:bottom w:w="90" w:type="dxa"/>
              <w:end w:w="120" w:type="dxa"/>
            </w:tcMar>
            <w:vAlign w:val="center"/>
            <w:shd w:fill="8B5A00" w:val="clear"/>
          </w:tcPr>
          <w:p>
            <w:pPr>
              <w:spacing w:before="0" w:after="0" w:line="240" w:lineRule="auto"/>
              <w:jc w:val="left"/>
            </w:pPr>
            <w:r/>
            <w:r>
              <w:rPr>
                <w:rFonts w:ascii="Arial" w:hAnsi="Arial" w:eastAsia="Arial" w:cs="Arial"/>
                <w:b/>
                <w:i w:val="0"/>
                <w:color w:val="FFFFFF"/>
                <w:sz w:val="18"/>
                <w:lang w:val="en-GB" w:eastAsia="en-GB" w:bidi="en-GB"/>
              </w:rPr>
              <w:t>Project authority, safety and evidence boundary</w:t>
            </w:r>
          </w:p>
        </w:tc>
      </w:tr>
      <w:tr>
        <w:trPr>
          <w:trHeight w:hRule="atLeast"/>
          <w:cantSplit/>
        </w:trPr>
        <w:tc>
          <w:tcPr>
            <w:tcW w:type="dxa" w:w="10106"/>
            <w:tcMar>
              <w:top w:w="90" w:type="dxa"/>
              <w:start w:w="120" w:type="dxa"/>
              <w:bottom w:w="90" w:type="dxa"/>
              <w:end w:w="120" w:type="dxa"/>
            </w:tcMar>
            <w:vAlign w:val="center"/>
            <w:shd w:fill="FFF7E6" w:val="clear"/>
          </w:tcPr>
          <w:p>
            <w:pPr>
              <w:spacing w:before="0" w:after="0" w:line="252" w:lineRule="auto"/>
              <w:jc w:val="left"/>
            </w:pPr>
            <w:r/>
            <w:r>
              <w:rPr>
                <w:rFonts w:ascii="Arial" w:hAnsi="Arial" w:eastAsia="Arial" w:cs="Arial"/>
                <w:color w:val="102334"/>
                <w:sz w:val="17"/>
                <w:lang w:val="en-GB" w:eastAsia="en-GB" w:bidi="en-GB"/>
              </w:rPr>
              <w:t>This form is not an offer, engineering approval, grid approval, permit, product certification, yield or savings guarantee, financing commitment, legal advice or obligation to transact. Technical, safety, environmental, financial and regulatory decisions require competent parties and project-specific evidence.</w:t>
            </w:r>
          </w:p>
        </w:tc>
      </w:tr>
    </w:tbl>
    <w:p>
      <w:pPr>
        <w:pStyle w:val="Heading1"/>
        <w:keepNext/>
        <w:spacing w:before="160" w:after="80" w:line="240" w:lineRule="auto"/>
        <w:jc w:val="left"/>
      </w:pPr>
      <w:r>
        <w:rPr>
          <w:rFonts w:ascii="Arial" w:hAnsi="Arial" w:eastAsia="Arial" w:cs="Arial"/>
          <w:b/>
          <w:color w:val="166534"/>
          <w:sz w:val="25"/>
          <w:lang w:val="en-GB" w:eastAsia="en-GB" w:bidi="en-GB"/>
        </w:rPr>
        <w:t>Organisation identity and authority</w:t>
      </w:r>
    </w:p>
    <w:tbl>
      <w:tblPr>
        <w:tblW w:type="dxa" w:w="10106"/>
        <w:jc w:val="center"/>
        <w:tblLayout w:type="fixed"/>
        <w:tblLook w:firstColumn="1" w:firstRow="1" w:lastColumn="0" w:lastRow="0" w:noHBand="0" w:noVBand="1" w:val="04A0"/>
        <w:tblInd w:w="120" w:type="dxa"/>
        <w:tblCaption w:val="Organisation identity and authority"/>
        <w:tblDescription w:val="Organisation identity and authority: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Information requested</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Response / evidence reference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Full legal name, trading name and organisation type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Full legal name, trading name and organisation type"/>
                <w:tag w:val="olyelectra.v2.buyer-requirement.en.identity.legal_name"/>
                <w:id w:val="438696440"/>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Registration number, country, tax status and registered address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Registration number, country, tax status and registered address"/>
                <w:tag w:val="olyelectra.v2.buyer-requirement.en.identity.registration"/>
                <w:id w:val="1043890180"/>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Corporate website and verifiable public profile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orporate website and verifiable public profile"/>
                <w:tag w:val="olyelectra.v2.buyer-requirement.en.identity.website"/>
                <w:id w:val="1613119406"/>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Authorised contact: name, title, department, email and telephone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Authorised contact: name, title, department, email and telephone"/>
                <w:tag w:val="olyelectra.v2.buyer-requirement.en.identity.contact"/>
                <w:id w:val="2100988301"/>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Basis of authority to represent the organisation and submit this form</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Basis of authority to represent the organisation and submit this form"/>
                <w:tag w:val="olyelectra.v2.buyer-requirement.en.identity.authority_basis"/>
                <w:id w:val="1017294877"/>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Project ownership, sponsor, contracting entity and decision authority</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roject ownership, sponsor, contracting entity and decision authority"/>
                <w:tag w:val="olyelectra.v2.buyer-requirement.en.identity.ownership_model"/>
                <w:id w:val="379011156"/>
                <w:text w:multiLine="1"/>
                <w:showingPlcHdr/>
              </w:sdtPr>
              <w:sdtContent>
                <w:r>
                  <w:rPr>
                    <w:color w:val="667985"/>
                    <w:i/>
                    <w:sz w:val="18"/>
                    <w:lang w:val="en-GB" w:eastAsia="en-GB" w:bidi="en-GB"/>
                  </w:rPr>
                  <w:t xml:space="preserve">Click or tap to enter a response. State Not applicable where relevant.</w:t>
                </w:r>
              </w:sdtContent>
            </w:sdt>
          </w:p>
        </w:tc>
      </w:tr>
    </w:tbl>
    <w:p>
      <w:pPr>
        <w:pStyle w:val="Heading1"/>
        <w:keepNext/>
        <w:spacing w:before="160" w:after="80" w:line="240" w:lineRule="auto"/>
        <w:jc w:val="left"/>
      </w:pPr>
      <w:r>
        <w:rPr>
          <w:rFonts w:ascii="Arial" w:hAnsi="Arial" w:eastAsia="Arial" w:cs="Arial"/>
          <w:b/>
          <w:color w:val="166534"/>
          <w:sz w:val="25"/>
          <w:lang w:val="en-GB" w:eastAsia="en-GB" w:bidi="en-GB"/>
        </w:rPr>
        <w:t>Project purpose, stage and procurement route</w:t>
      </w:r>
    </w:p>
    <w:tbl>
      <w:tblPr>
        <w:tblW w:type="dxa" w:w="10106"/>
        <w:jc w:val="center"/>
        <w:tblLayout w:type="fixed"/>
        <w:tblLook w:firstColumn="1" w:firstRow="1" w:lastColumn="0" w:lastRow="0" w:noHBand="0" w:noVBand="1" w:val="04A0"/>
        <w:tblInd w:w="120" w:type="dxa"/>
        <w:tblCaption w:val="Project purpose, stage and procurement route"/>
        <w:tblDescription w:val="Project purpose, stage and procurement route: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Information requested</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Response / evidence reference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Project or portfolio name and internal reference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roject or portfolio name and internal reference"/>
                <w:tag w:val="olyelectra.v2.buyer-requirement.en.project.project_name"/>
                <w:id w:val="1422244160"/>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Business, energy, resilience, climate or public-service objective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Business, energy, resilience, climate or public-service objective"/>
                <w:tag w:val="olyelectra.v2.buyer-requirement.en.project.project_purpose"/>
                <w:id w:val="748242507"/>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Current stage: concept, feasibility, development, grid, procurement, finance, construction or operations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urrent stage: concept, feasibility, development, grid, procurement, finance, construction or operations"/>
                <w:tag w:val="olyelectra.v2.buyer-requirement.en.project.project_stage"/>
                <w:id w:val="466659439"/>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Technology family or integrated solution requested</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Technology family or integrated solution requested"/>
                <w:tag w:val="olyelectra.v2.buyer-requirement.en.project.technology_family"/>
                <w:id w:val="206203134"/>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Indicative generation, storage, charging, thermal or load capacity and units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Indicative generation, storage, charging, thermal or load capacity and units"/>
                <w:tag w:val="olyelectra.v2.buyer-requirement.en.project.capacity"/>
                <w:id w:val="1152416198"/>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Procurement, tender, framework, PPA, lease, EPC or service route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rocurement, tender, framework, PPA, lease, EPC or service route"/>
                <w:tag w:val="olyelectra.v2.buyer-requirement.en.project.procurement_route"/>
                <w:id w:val="955715049"/>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Role requested from OLYELECTRA and expected deliverables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Role requested from OLYELECTRA and expected deliverables"/>
                <w:tag w:val="olyelectra.v2.buyer-requirement.en.project.requested_role"/>
                <w:id w:val="2102663015"/>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Decision, procurement, construction, energisation and operation milestones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Decision, procurement, construction, energisation and operation milestones"/>
                <w:tag w:val="olyelectra.v2.buyer-requirement.en.project.schedule"/>
                <w:id w:val="1124853629"/>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Indicative budget, currency, price basis and approvals, if disclosable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Indicative budget, currency, price basis and approvals, if disclosable"/>
                <w:tag w:val="olyelectra.v2.buyer-requirement.en.project.budget"/>
                <w:id w:val="496640913"/>
                <w:text w:multiLine="1"/>
                <w:showingPlcHdr/>
              </w:sdtPr>
              <w:sdtContent>
                <w:r>
                  <w:rPr>
                    <w:color w:val="667985"/>
                    <w:i/>
                    <w:sz w:val="18"/>
                    <w:lang w:val="en-GB" w:eastAsia="en-GB" w:bidi="en-GB"/>
                  </w:rPr>
                  <w:t xml:space="preserve">Click or tap to enter a response. State Not applicable where relevant.</w:t>
                </w:r>
              </w:sdtContent>
            </w:sdt>
          </w:p>
        </w:tc>
      </w:tr>
    </w:tbl>
    <w:p>
      <w:pPr>
        <w:pStyle w:val="Heading1"/>
        <w:keepNext/>
        <w:spacing w:before="160" w:after="80" w:line="240" w:lineRule="auto"/>
        <w:jc w:val="left"/>
      </w:pPr>
      <w:r>
        <w:rPr>
          <w:rFonts w:ascii="Arial" w:hAnsi="Arial" w:eastAsia="Arial" w:cs="Arial"/>
          <w:b/>
          <w:color w:val="166534"/>
          <w:sz w:val="25"/>
          <w:lang w:val="en-GB" w:eastAsia="en-GB" w:bidi="en-GB"/>
        </w:rPr>
        <w:t>Site, land, permits and stakeholders</w:t>
      </w:r>
    </w:p>
    <w:tbl>
      <w:tblPr>
        <w:tblW w:type="dxa" w:w="10106"/>
        <w:jc w:val="center"/>
        <w:tblLayout w:type="fixed"/>
        <w:tblLook w:firstColumn="1" w:firstRow="1" w:lastColumn="0" w:lastRow="0" w:noHBand="0" w:noVBand="1" w:val="04A0"/>
        <w:tblInd w:w="120" w:type="dxa"/>
        <w:tblCaption w:val="Site, land, permits and stakeholders"/>
        <w:tblDescription w:val="Site, land, permits and stakeholders: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Information requested</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Response / evidence reference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Country, region and non-sensitive site/location description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ountry, region and non-sensitive site/location description"/>
                <w:tag w:val="olyelectra.v2.buyer-requirement.en.site.site_address"/>
                <w:id w:val="1858671524"/>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Land, roof or facility ownership/lease rights and access authority</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Land, roof or facility ownership/lease rights and access authority"/>
                <w:tag w:val="olyelectra.v2.buyer-requirement.en.site.site_rights"/>
                <w:id w:val="1154814357"/>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Greenfield, brownfield, operating asset, retrofit, expansion or repowering</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Greenfield, brownfield, operating asset, retrofit, expansion or repowering"/>
                <w:tag w:val="olyelectra.v2.buyer-requirement.en.site.site_status"/>
                <w:id w:val="1781112653"/>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Available topographic, geotechnical, structural, hydrological or other surveys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Available topographic, geotechnical, structural, hydrological or other surveys"/>
                <w:tag w:val="olyelectra.v2.buyer-requirement.en.site.surveys"/>
                <w:id w:val="655485841"/>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Access, transport, crane, construction, laydown and working-hour constraints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Access, transport, crane, construction, laydown and working-hour constraints"/>
                <w:tag w:val="olyelectra.v2.buyer-requirement.en.site.access_logistics"/>
                <w:id w:val="216392265"/>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Planning, construction, environmental, aviation, heritage and other permit status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lanning, construction, environmental, aviation, heritage and other permit status"/>
                <w:tag w:val="olyelectra.v2.buyer-requirement.en.site.permitting"/>
                <w:id w:val="792978648"/>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Biodiversity, water, drainage, noise, visual, waste and contamination constraints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Biodiversity, water, drainage, noise, visual, waste and contamination constraints"/>
                <w:tag w:val="olyelectra.v2.buyer-requirement.en.site.environment"/>
                <w:id w:val="1723715330"/>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Landowner, community, indigenous, cultural-heritage and stakeholder considerations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Landowner, community, indigenous, cultural-heritage and stakeholder considerations"/>
                <w:tag w:val="olyelectra.v2.buyer-requirement.en.site.community"/>
                <w:id w:val="110736530"/>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Temperature, wind, snow, flood, seismic, corrosion, altitude and other site conditions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Temperature, wind, snow, flood, seismic, corrosion, altitude and other site conditions"/>
                <w:tag w:val="olyelectra.v2.buyer-requirement.en.site.climate"/>
                <w:id w:val="1573705139"/>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Site security, critical-infrastructure and controlled-information requirements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Site security, critical-infrastructure and controlled-information requirements"/>
                <w:tag w:val="olyelectra.v2.buyer-requirement.en.site.security"/>
                <w:id w:val="668891907"/>
                <w:text w:multiLine="1"/>
                <w:showingPlcHdr/>
              </w:sdtPr>
              <w:sdtContent>
                <w:r>
                  <w:rPr>
                    <w:color w:val="667985"/>
                    <w:i/>
                    <w:sz w:val="18"/>
                    <w:lang w:val="en-GB" w:eastAsia="en-GB" w:bidi="en-GB"/>
                  </w:rPr>
                  <w:t xml:space="preserve">Click or tap to enter a response. State Not applicable where relevant.</w:t>
                </w:r>
              </w:sdtContent>
            </w:sdt>
          </w:p>
        </w:tc>
      </w:tr>
    </w:tbl>
    <w:p>
      <w:pPr>
        <w:pStyle w:val="Heading1"/>
        <w:keepNext/>
        <w:spacing w:before="160" w:after="80" w:line="240" w:lineRule="auto"/>
        <w:jc w:val="left"/>
      </w:pPr>
      <w:r>
        <w:rPr>
          <w:rFonts w:ascii="Arial" w:hAnsi="Arial" w:eastAsia="Arial" w:cs="Arial"/>
          <w:b/>
          <w:color w:val="166534"/>
          <w:sz w:val="25"/>
          <w:lang w:val="en-GB" w:eastAsia="en-GB" w:bidi="en-GB"/>
        </w:rPr>
        <w:t>Resource, load and performance basis</w:t>
      </w:r>
    </w:p>
    <w:tbl>
      <w:tblPr>
        <w:tblW w:type="dxa" w:w="10106"/>
        <w:jc w:val="center"/>
        <w:tblLayout w:type="fixed"/>
        <w:tblLook w:firstColumn="1" w:firstRow="1" w:lastColumn="0" w:lastRow="0" w:noHBand="0" w:noVBand="1" w:val="04A0"/>
        <w:tblInd w:w="120" w:type="dxa"/>
        <w:tblCaption w:val="Resource, load and performance basis"/>
        <w:tblDescription w:val="Resource, load and performance basis: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Information requested</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Response / evidence reference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Solar, wind, hydro, geothermal or other resource-data source, period and quality</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Solar, wind, hydro, geothermal or other resource-data source, period and quality"/>
                <w:tag w:val="olyelectra.v2.buyer-requirement.en.energy.resource_data"/>
                <w:id w:val="534876084"/>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Interval electricity/thermal load data, period, completeness and data owner</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Interval electricity/thermal load data, period, completeness and data owner"/>
                <w:tag w:val="olyelectra.v2.buyer-requirement.en.energy.load_data"/>
                <w:id w:val="1292455744"/>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Critical loads, resilience duration, operating constraints and load priority</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ritical loads, resilience duration, operating constraints and load priority"/>
                <w:tag w:val="olyelectra.v2.buyer-requirement.en.energy.critical_loads"/>
                <w:id w:val="1314277243"/>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Energy, cost or emissions baseline, boundary and adjustment method</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Energy, cost or emissions baseline, boundary and adjustment method"/>
                <w:tag w:val="olyelectra.v2.buyer-requirement.en.energy.baseline"/>
                <w:id w:val="1374992333"/>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Yield, savings or dispatch model, software/version, author and review status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Yield, savings or dispatch model, software/version, author and review status"/>
                <w:tag w:val="olyelectra.v2.buyer-requirement.en.energy.energy_model"/>
                <w:id w:val="796953371"/>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Loss, degradation, availability, curtailment and uncertainty assumptions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Loss, degradation, availability, curtailment and uncertainty assumptions"/>
                <w:tag w:val="olyelectra.v2.buyer-requirement.en.energy.losses"/>
                <w:id w:val="312950191"/>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Metering and measurement/verification plan for forecast and actual outcomes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Metering and measurement/verification plan for forecast and actual outcomes"/>
                <w:tag w:val="olyelectra.v2.buyer-requirement.en.energy.measurement"/>
                <w:id w:val="499887325"/>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Proposed savings, yield, emissions or renewable claims and evidence methodology</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roposed savings, yield, emissions or renewable claims and evidence methodology"/>
                <w:tag w:val="olyelectra.v2.buyer-requirement.en.energy.claims"/>
                <w:id w:val="2016076759"/>
                <w:text w:multiLine="1"/>
                <w:showingPlcHdr/>
              </w:sdtPr>
              <w:sdtContent>
                <w:r>
                  <w:rPr>
                    <w:color w:val="667985"/>
                    <w:i/>
                    <w:sz w:val="18"/>
                    <w:lang w:val="en-GB" w:eastAsia="en-GB" w:bidi="en-GB"/>
                  </w:rPr>
                  <w:t xml:space="preserve">Click or tap to enter a response. State Not applicable where relevant.</w:t>
                </w:r>
              </w:sdtContent>
            </w:sdt>
          </w:p>
        </w:tc>
      </w:tr>
    </w:tbl>
    <w:p>
      <w:pPr>
        <w:pStyle w:val="Heading1"/>
        <w:keepNext/>
        <w:spacing w:before="160" w:after="80" w:line="240" w:lineRule="auto"/>
        <w:jc w:val="left"/>
      </w:pPr>
      <w:r>
        <w:rPr>
          <w:rFonts w:ascii="Arial" w:hAnsi="Arial" w:eastAsia="Arial" w:cs="Arial"/>
          <w:b/>
          <w:color w:val="166534"/>
          <w:sz w:val="25"/>
          <w:lang w:val="en-GB" w:eastAsia="en-GB" w:bidi="en-GB"/>
        </w:rPr>
        <w:t>Grid connection and electrical-system integration</w:t>
      </w:r>
    </w:p>
    <w:tbl>
      <w:tblPr>
        <w:tblW w:type="dxa" w:w="10106"/>
        <w:jc w:val="center"/>
        <w:tblLayout w:type="fixed"/>
        <w:tblLook w:firstColumn="1" w:firstRow="1" w:lastColumn="0" w:lastRow="0" w:noHBand="0" w:noVBand="1" w:val="04A0"/>
        <w:tblInd w:w="120" w:type="dxa"/>
        <w:tblCaption w:val="Grid connection and electrical-system integration"/>
        <w:tblDescription w:val="Grid connection and electrical-system integration: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Information requested</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Response / evidence reference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Relevant network/utility operator and named application route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Relevant network/utility operator and named application route"/>
                <w:tag w:val="olyelectra.v2.buyer-requirement.en.grid.network_operator"/>
                <w:id w:val="1436298740"/>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Proposed connection point, voltage, import/export capacity and ownership boundary</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roposed connection point, voltage, import/export capacity and ownership boundary"/>
                <w:tag w:val="olyelectra.v2.buyer-requirement.en.grid.connection_point"/>
                <w:id w:val="1865020956"/>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Application, queue, offer, study, agreement and approval status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Application, queue, offer, study, agreement and approval status"/>
                <w:tag w:val="olyelectra.v2.buyer-requirement.en.grid.grid_status"/>
                <w:id w:val="871802683"/>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Load-flow, short-circuit, protection, harmonic, stability or other study status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Load-flow, short-circuit, protection, harmonic, stability or other study status"/>
                <w:tag w:val="olyelectra.v2.buyer-requirement.en.grid.grid_studies"/>
                <w:id w:val="1718742455"/>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Export/import limits, non-firm terms, curtailment and operating envelopes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Export/import limits, non-firm terms, curtailment and operating envelopes"/>
                <w:tag w:val="olyelectra.v2.buyer-requirement.en.grid.export_limits"/>
                <w:id w:val="985216810"/>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Protection, earthing, isolation, anti-islanding and interface philosophy</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rotection, earthing, isolation, anti-islanding and interface philosophy"/>
                <w:tag w:val="olyelectra.v2.buyer-requirement.en.grid.protection"/>
                <w:id w:val="1216590417"/>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Reactive power, harmonics, flicker, voltage and grid-code requirements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Reactive power, harmonics, flicker, voltage and grid-code requirements"/>
                <w:tag w:val="olyelectra.v2.buyer-requirement.en.grid.power_quality"/>
                <w:id w:val="1662841061"/>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Revenue/settlement metering, telemetry, communications and data responsibilities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Revenue/settlement metering, telemetry, communications and data responsibilities"/>
                <w:tag w:val="olyelectra.v2.buyer-requirement.en.grid.metering"/>
                <w:id w:val="692478511"/>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Single-line diagram and electrical design-basis reference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Single-line diagram and electrical design-basis reference"/>
                <w:tag w:val="olyelectra.v2.buyer-requirement.en.grid.single_line"/>
                <w:id w:val="1254816703"/>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Responsible designer, licensed engineer, network approver and sign-off route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Responsible designer, licensed engineer, network approver and sign-off route"/>
                <w:tag w:val="olyelectra.v2.buyer-requirement.en.grid.grid_authority"/>
                <w:id w:val="1939880195"/>
                <w:text w:multiLine="1"/>
                <w:showingPlcHdr/>
              </w:sdtPr>
              <w:sdtContent>
                <w:r>
                  <w:rPr>
                    <w:color w:val="667985"/>
                    <w:i/>
                    <w:sz w:val="18"/>
                    <w:lang w:val="en-GB" w:eastAsia="en-GB" w:bidi="en-GB"/>
                  </w:rPr>
                  <w:t xml:space="preserve">Click or tap to enter a response. State Not applicable where relevant.</w:t>
                </w:r>
              </w:sdtContent>
            </w:sdt>
          </w:p>
        </w:tc>
      </w:tr>
    </w:tbl>
    <w:p>
      <w:pPr>
        <w:pStyle w:val="Heading1"/>
        <w:keepNext/>
        <w:spacing w:before="160" w:after="80" w:line="240" w:lineRule="auto"/>
        <w:jc w:val="left"/>
      </w:pPr>
      <w:r>
        <w:rPr>
          <w:rFonts w:ascii="Arial" w:hAnsi="Arial" w:eastAsia="Arial" w:cs="Arial"/>
          <w:b/>
          <w:color w:val="166534"/>
          <w:sz w:val="25"/>
          <w:lang w:val="en-GB" w:eastAsia="en-GB" w:bidi="en-GB"/>
        </w:rPr>
        <w:t>Technology, supplier and evidence requirements</w:t>
      </w:r>
    </w:p>
    <w:tbl>
      <w:tblPr>
        <w:tblW w:type="dxa" w:w="10106"/>
        <w:jc w:val="center"/>
        <w:tblLayout w:type="fixed"/>
        <w:tblLook w:firstColumn="1" w:firstRow="1" w:lastColumn="0" w:lastRow="0" w:noHBand="0" w:noVBand="1" w:val="04A0"/>
        <w:tblInd w:w="120" w:type="dxa"/>
        <w:tblCaption w:val="Technology, supplier and evidence requirements"/>
        <w:tblDescription w:val="Technology, supplier and evidence requirements: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Information requested</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Response / evidence reference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Legal manufacturer, manufacturing site, country of origin and authorised supply route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Legal manufacturer, manufacturing site, country of origin and authorised supply route"/>
                <w:tag w:val="olyelectra.v2.buyer-requirement.en.technology.manufacturer"/>
                <w:id w:val="1449930426"/>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Exact model, configuration, rating, revision, software/firmware and accessories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Exact model, configuration, rating, revision, software/firmware and accessories"/>
                <w:tag w:val="olyelectra.v2.buyer-requirement.en.technology.model"/>
                <w:id w:val="862191956"/>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Contract-, jurisdiction- and product-specific standards/codes and required editions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ontract-, jurisdiction- and product-specific standards/codes and required editions"/>
                <w:tag w:val="olyelectra.v2.buyer-requirement.en.technology.standards"/>
                <w:id w:val="1707139479"/>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Current type, safety, performance, environmental and conformity reports/certificates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urrent type, safety, performance, environmental and conformity reports/certificates"/>
                <w:tag w:val="olyelectra.v2.buyer-requirement.en.technology.reports"/>
                <w:id w:val="2083856969"/>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Comparable operating project references, country, capacity, age and customer contact route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omparable operating project references, country, capacity, age and customer contact route"/>
                <w:tag w:val="olyelectra.v2.buyer-requirement.en.technology.references"/>
                <w:id w:val="602960138"/>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Manufacturing capacity, lead time, factory audit and quality-release arrangements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Manufacturing capacity, lead time, factory audit and quality-release arrangements"/>
                <w:tag w:val="olyelectra.v2.buyer-requirement.en.technology.factory"/>
                <w:id w:val="482763701"/>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Approved-equivalent, design-change, component-change and notification rules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Approved-equivalent, design-change, component-change and notification rules"/>
                <w:tag w:val="olyelectra.v2.buyer-requirement.en.technology.substitution"/>
                <w:id w:val="1820683525"/>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Inspection, factory/site acceptance, commissioning and performance-test criteria</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Inspection, factory/site acceptance, commissioning and performance-test criteria"/>
                <w:tag w:val="olyelectra.v2.buyer-requirement.en.technology.acceptance"/>
                <w:id w:val="2059579768"/>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Required drawings, models, calculations, manuals, training and as-built records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Required drawings, models, calculations, manuals, training and as-built records"/>
                <w:tag w:val="olyelectra.v2.buyer-requirement.en.technology.documentation"/>
                <w:id w:val="355859401"/>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Local service, spares, escalation, remote support and response-time capability</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Local service, spares, escalation, remote support and response-time capability"/>
                <w:tag w:val="olyelectra.v2.buyer-requirement.en.technology.support"/>
                <w:id w:val="133142243"/>
                <w:text w:multiLine="1"/>
                <w:showingPlcHdr/>
              </w:sdtPr>
              <w:sdtContent>
                <w:r>
                  <w:rPr>
                    <w:color w:val="667985"/>
                    <w:i/>
                    <w:sz w:val="18"/>
                    <w:lang w:val="en-GB" w:eastAsia="en-GB" w:bidi="en-GB"/>
                  </w:rPr>
                  <w:t xml:space="preserve">Click or tap to enter a response. State Not applicable where relevant.</w:t>
                </w:r>
              </w:sdtContent>
            </w:sdt>
          </w:p>
        </w:tc>
      </w:tr>
    </w:tbl>
    <w:p>
      <w:pPr>
        <w:pStyle w:val="Heading1"/>
        <w:keepNext/>
        <w:spacing w:before="160" w:after="80" w:line="240" w:lineRule="auto"/>
        <w:jc w:val="left"/>
      </w:pPr>
      <w:r>
        <w:rPr>
          <w:rFonts w:ascii="Arial" w:hAnsi="Arial" w:eastAsia="Arial" w:cs="Arial"/>
          <w:b/>
          <w:color w:val="166534"/>
          <w:sz w:val="25"/>
          <w:lang w:val="en-GB" w:eastAsia="en-GB" w:bidi="en-GB"/>
        </w:rPr>
        <w:t>Storage, microgrid and EV-charging requirements, if applicable</w:t>
      </w:r>
    </w:p>
    <w:tbl>
      <w:tblPr>
        <w:tblW w:type="dxa" w:w="10106"/>
        <w:jc w:val="center"/>
        <w:tblLayout w:type="fixed"/>
        <w:tblLook w:firstColumn="1" w:firstRow="1" w:lastColumn="0" w:lastRow="0" w:noHBand="0" w:noVBand="1" w:val="04A0"/>
        <w:tblInd w:w="120" w:type="dxa"/>
        <w:tblCaption w:val="Storage, microgrid and EV-charging requirements, if applicable"/>
        <w:tblDescription w:val="Storage, microgrid and EV-charging requirements, if applicable: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Information requested</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Response / evidence reference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BESS use case, MW/MWh, duration, duty cycle, state-of-charge and dispatch priorities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BESS use case, MW/MWh, duration, duty cycle, state-of-charge and dispatch priorities"/>
                <w:tag w:val="olyelectra.v2.buyer-requirement.en.storage_ev.storage_use"/>
                <w:id w:val="1755845732"/>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Chemistry, cell/module/rack/container, PCS, HVAC, BMS, EMS and system integrator</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hemistry, cell/module/rack/container, PCS, HVAC, BMS, EMS and system integrator"/>
                <w:tag w:val="olyelectra.v2.buyer-requirement.en.storage_ev.battery_system"/>
                <w:id w:val="715911723"/>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Cycles/throughput, degradation, augmentation, warranty and end-of-life assumptions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ycles/throughput, degradation, augmentation, warranty and end-of-life assumptions"/>
                <w:tag w:val="olyelectra.v2.buyer-requirement.en.storage_ev.battery_life"/>
                <w:id w:val="128708583"/>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Detection, isolation, ventilation, propagation, fire response and emergency plan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Detection, isolation, ventilation, propagation, fire response and emergency plan"/>
                <w:tag w:val="olyelectra.v2.buyer-requirement.en.storage_ev.fire_strategy"/>
                <w:id w:val="964764639"/>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Island mode, resynchronisation, black start, generator/renewable coordination and critical loads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Island mode, resynchronisation, black start, generator/renewable coordination and critical loads"/>
                <w:tag w:val="olyelectra.v2.buyer-requirement.en.storage_ev.microgrid"/>
                <w:id w:val="1409039443"/>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Vehicle classes, fleet size, route, energy, dwell time, turnaround and growth forecast</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Vehicle classes, fleet size, route, energy, dwell time, turnaround and growth forecast"/>
                <w:tag w:val="olyelectra.v2.buyer-requirement.en.storage_ev.ev_demand"/>
                <w:id w:val="90348856"/>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AC/DC charger quantity, power, connector, accessibility, cable and environmental needs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AC/DC charger quantity, power, connector, accessibility, cable and environmental needs"/>
                <w:tag w:val="olyelectra.v2.buyer-requirement.en.storage_ev.ev_hardware"/>
                <w:id w:val="1677124692"/>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Back office, payments, roaming, managed charging, uptime, data and cyber requirements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Back office, payments, roaming, managed charging, uptime, data and cyber requirements"/>
                <w:tag w:val="olyelectra.v2.buyer-requirement.en.storage_ev.ev_software"/>
                <w:id w:val="1137014215"/>
                <w:text w:multiLine="1"/>
                <w:showingPlcHdr/>
              </w:sdtPr>
              <w:sdtContent>
                <w:r>
                  <w:rPr>
                    <w:color w:val="667985"/>
                    <w:i/>
                    <w:sz w:val="18"/>
                    <w:lang w:val="en-GB" w:eastAsia="en-GB" w:bidi="en-GB"/>
                  </w:rPr>
                  <w:t xml:space="preserve">Click or tap to enter a response. State Not applicable where relevant.</w:t>
                </w:r>
              </w:sdtContent>
            </w:sdt>
          </w:p>
        </w:tc>
      </w:tr>
    </w:tbl>
    <w:p>
      <w:pPr>
        <w:pStyle w:val="Heading1"/>
        <w:keepNext/>
        <w:spacing w:before="160" w:after="80" w:line="240" w:lineRule="auto"/>
        <w:jc w:val="left"/>
      </w:pPr>
      <w:r>
        <w:rPr>
          <w:rFonts w:ascii="Arial" w:hAnsi="Arial" w:eastAsia="Arial" w:cs="Arial"/>
          <w:b/>
          <w:color w:val="166534"/>
          <w:sz w:val="25"/>
          <w:lang w:val="en-GB" w:eastAsia="en-GB" w:bidi="en-GB"/>
        </w:rPr>
        <w:t>Commercial, financing and schedule assumptions</w:t>
      </w:r>
    </w:p>
    <w:tbl>
      <w:tblPr>
        <w:tblW w:type="dxa" w:w="10106"/>
        <w:jc w:val="center"/>
        <w:tblLayout w:type="fixed"/>
        <w:tblLook w:firstColumn="1" w:firstRow="1" w:lastColumn="0" w:lastRow="0" w:noHBand="0" w:noVBand="1" w:val="04A0"/>
        <w:tblInd w:w="120" w:type="dxa"/>
        <w:tblCaption w:val="Commercial, financing and schedule assumptions"/>
        <w:tblDescription w:val="Commercial, financing and schedule assumptions: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Information requested</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Response / evidence reference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Purchase, EPC, PPA, lease, energy-as-a-service or other proposed model</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urchase, EPC, PPA, lease, energy-as-a-service or other proposed model"/>
                <w:tag w:val="olyelectra.v2.buyer-requirement.en.commercial.commercial_model"/>
                <w:id w:val="281919388"/>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Energy tariff, demand charges, export value, market revenue and escalation assumptions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Energy tariff, demand charges, export value, market revenue and escalation assumptions"/>
                <w:tag w:val="olyelectra.v2.buyer-requirement.en.commercial.tariff"/>
                <w:id w:val="2004360893"/>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Offtaker, credit, PPA or savings-sharing status and material conditions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Offtaker, credit, PPA or savings-sharing status and material conditions"/>
                <w:tag w:val="olyelectra.v2.buyer-requirement.en.commercial.offtake"/>
                <w:id w:val="1684723236"/>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Equity/debt/grant/incentive route, adviser, lender and required bankability evidence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Equity/debt/grant/incentive route, adviser, lender and required bankability evidence"/>
                <w:tag w:val="olyelectra.v2.buyer-requirement.en.commercial.finance"/>
                <w:id w:val="1868523314"/>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Tax, customs, subsidy, local-content and incentive assumptions and eligibility owner</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Tax, customs, subsidy, local-content and incentive assumptions and eligibility owner"/>
                <w:tag w:val="olyelectra.v2.buyer-requirement.en.commercial.tax_incentive"/>
                <w:id w:val="1898092870"/>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Construction, operational, property, liability and specialist insurance requirements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onstruction, operational, property, liability and specialist insurance requirements"/>
                <w:tag w:val="olyelectra.v2.buyer-requirement.en.commercial.insurance"/>
                <w:id w:val="203773461"/>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Currency, taxes, escalation, validity, exclusions, contingencies and owner-supplied items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urrency, taxes, escalation, validity, exclusions, contingencies and owner-supplied items"/>
                <w:tag w:val="olyelectra.v2.buyer-requirement.en.commercial.price_basis"/>
                <w:id w:val="326360513"/>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Material sensitivities, conditions precedent, dependencies and allocation principles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Material sensitivities, conditions precedent, dependencies and allocation principles"/>
                <w:tag w:val="olyelectra.v2.buyer-requirement.en.commercial.commercial_risks"/>
                <w:id w:val="1842870877"/>
                <w:text w:multiLine="1"/>
                <w:showingPlcHdr/>
              </w:sdtPr>
              <w:sdtContent>
                <w:r>
                  <w:rPr>
                    <w:color w:val="667985"/>
                    <w:i/>
                    <w:sz w:val="18"/>
                    <w:lang w:val="en-GB" w:eastAsia="en-GB" w:bidi="en-GB"/>
                  </w:rPr>
                  <w:t xml:space="preserve">Click or tap to enter a response. State Not applicable where relevant.</w:t>
                </w:r>
              </w:sdtContent>
            </w:sdt>
          </w:p>
        </w:tc>
      </w:tr>
    </w:tbl>
    <w:p>
      <w:pPr>
        <w:pStyle w:val="Heading1"/>
        <w:keepNext/>
        <w:spacing w:before="160" w:after="80" w:line="240" w:lineRule="auto"/>
        <w:jc w:val="left"/>
      </w:pPr>
      <w:r>
        <w:rPr>
          <w:rFonts w:ascii="Arial" w:hAnsi="Arial" w:eastAsia="Arial" w:cs="Arial"/>
          <w:b/>
          <w:color w:val="166534"/>
          <w:sz w:val="25"/>
          <w:lang w:val="en-GB" w:eastAsia="en-GB" w:bidi="en-GB"/>
        </w:rPr>
        <w:t>Safety, quality, environment, social and cybersecurity</w:t>
      </w:r>
    </w:p>
    <w:tbl>
      <w:tblPr>
        <w:tblW w:type="dxa" w:w="10106"/>
        <w:jc w:val="center"/>
        <w:tblLayout w:type="fixed"/>
        <w:tblLook w:firstColumn="1" w:firstRow="1" w:lastColumn="0" w:lastRow="0" w:noHBand="0" w:noVBand="1" w:val="04A0"/>
        <w:tblInd w:w="120" w:type="dxa"/>
        <w:tblCaption w:val="Safety, quality, environment, social and cybersecurity"/>
        <w:tblDescription w:val="Safety, quality, environment, social and cybersecurity: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Information requested</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Response / evidence reference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Design-risk register, responsible engineers and hazard-review status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Design-risk register, responsible engineers and hazard-review status"/>
                <w:tag w:val="olyelectra.v2.buyer-requirement.en.safety.design_risk"/>
                <w:id w:val="342027466"/>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Electrical safety, arc-flash, lockout/tagout, access and safe-isolation approach</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Electrical safety, arc-flash, lockout/tagout, access and safe-isolation approach"/>
                <w:tag w:val="olyelectra.v2.buyer-requirement.en.safety.electrical_safety"/>
                <w:id w:val="190781691"/>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Structural, fire, thermal-runaway and emergency-services interface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Structural, fire, thermal-runaway and emergency-services interface"/>
                <w:tag w:val="olyelectra.v2.buyer-requirement.en.safety.structural_fire"/>
                <w:id w:val="1499196850"/>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Construction and operations HSE management, competence and incident escalation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onstruction and operations HSE management, competence and incident escalation"/>
                <w:tag w:val="olyelectra.v2.buyer-requirement.en.safety.hse"/>
                <w:id w:val="537620825"/>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Project quality plan, inspection/test plan, nonconformance and change control</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roject quality plan, inspection/test plan, nonconformance and change control"/>
                <w:tag w:val="olyelectra.v2.buyer-requirement.en.safety.quality_plan"/>
                <w:id w:val="1715128294"/>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Environmental/social screening, permits, mitigation and monitoring ownership</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Environmental/social screening, permits, mitigation and monitoring ownership"/>
                <w:tag w:val="olyelectra.v2.buyer-requirement.en.safety.es_screening"/>
                <w:id w:val="622488009"/>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Labour standards, forced/child labour, worker welfare and grievance controls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Labour standards, forced/child labour, worker welfare and grievance controls"/>
                <w:tag w:val="olyelectra.v2.buyer-requirement.en.safety.labour"/>
                <w:id w:val="547712199"/>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Cyber architecture, remote access, roles, patching, backup, logging and incident response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yber architecture, remote access, roles, patching, backup, logging and incident response"/>
                <w:tag w:val="olyelectra.v2.buyer-requirement.en.safety.cyber"/>
                <w:id w:val="629441074"/>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Data ownership, hosting countries, privacy, retention and secure transfer requirements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Data ownership, hosting countries, privacy, retention and secure transfer requirements"/>
                <w:tag w:val="olyelectra.v2.buyer-requirement.en.safety.data"/>
                <w:id w:val="800775784"/>
                <w:text w:multiLine="1"/>
                <w:showingPlcHdr/>
              </w:sdtPr>
              <w:sdtContent>
                <w:r>
                  <w:rPr>
                    <w:color w:val="667985"/>
                    <w:i/>
                    <w:sz w:val="18"/>
                    <w:lang w:val="en-GB" w:eastAsia="en-GB" w:bidi="en-GB"/>
                  </w:rPr>
                  <w:t xml:space="preserve">Click or tap to enter a response. State Not applicable where relevant.</w:t>
                </w:r>
              </w:sdtContent>
            </w:sdt>
          </w:p>
        </w:tc>
      </w:tr>
    </w:tbl>
    <w:p>
      <w:pPr>
        <w:pStyle w:val="Heading1"/>
        <w:keepNext/>
        <w:spacing w:before="160" w:after="80" w:line="240" w:lineRule="auto"/>
        <w:jc w:val="left"/>
      </w:pPr>
      <w:r>
        <w:rPr>
          <w:rFonts w:ascii="Arial" w:hAnsi="Arial" w:eastAsia="Arial" w:cs="Arial"/>
          <w:b/>
          <w:color w:val="166534"/>
          <w:sz w:val="25"/>
          <w:lang w:val="en-GB" w:eastAsia="en-GB" w:bidi="en-GB"/>
        </w:rPr>
        <w:t>Delivery, operations and circular lifecycle</w:t>
      </w:r>
    </w:p>
    <w:tbl>
      <w:tblPr>
        <w:tblW w:type="dxa" w:w="10106"/>
        <w:jc w:val="center"/>
        <w:tblLayout w:type="fixed"/>
        <w:tblLook w:firstColumn="1" w:firstRow="1" w:lastColumn="0" w:lastRow="0" w:noHBand="0" w:noVBand="1" w:val="04A0"/>
        <w:tblInd w:w="120" w:type="dxa"/>
        <w:tblCaption w:val="Delivery, operations and circular lifecycle"/>
        <w:tblDescription w:val="Delivery, operations and circular lifecycle: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Information requested</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Response / evidence reference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Incoterm, delivery point, packaging, transport, lifting and site-receipt responsibilities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Incoterm, delivery point, packaging, transport, lifting and site-receipt responsibilities"/>
                <w:tag w:val="olyelectra.v2.buyer-requirement.en.lifecycle.delivery"/>
                <w:id w:val="1116699915"/>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EPC interfaces, enabling works, temporary services and construction responsibility matrix</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EPC interfaces, enabling works, temporary services and construction responsibility matrix"/>
                <w:tag w:val="olyelectra.v2.buyer-requirement.en.lifecycle.construction"/>
                <w:id w:val="1586441777"/>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Pre-commissioning, energisation, testing, acceptance and handover responsibilities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re-commissioning, energisation, testing, acceptance and handover responsibilities"/>
                <w:tag w:val="olyelectra.v2.buyer-requirement.en.lifecycle.commissioning"/>
                <w:id w:val="1349214550"/>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Operator/maintainer training, competency evidence and refresher requirements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Operator/maintainer training, competency evidence and refresher requirements"/>
                <w:tag w:val="olyelectra.v2.buyer-requirement.en.lifecycle.training"/>
                <w:id w:val="8645712"/>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Preventive/corrective O&amp;M, inspection, cleaning, vegetation and service-level scope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reventive/corrective O&amp;M, inspection, cleaning, vegetation and service-level scope"/>
                <w:tag w:val="olyelectra.v2.buyer-requirement.en.lifecycle.om"/>
                <w:id w:val="64622155"/>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Critical spares, consumables, tools, lead times and obsolescence strategy</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ritical spares, consumables, tools, lead times and obsolescence strategy"/>
                <w:tag w:val="olyelectra.v2.buyer-requirement.en.lifecycle.spares"/>
                <w:id w:val="503170540"/>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Product, workmanship and performance warranties, exclusions and claim process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roduct, workmanship and performance warranties, exclusions and claim process"/>
                <w:tag w:val="olyelectra.v2.buyer-requirement.en.lifecycle.warranty"/>
                <w:id w:val="36443947"/>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Asset monitoring, KPI, alarms, reports, performance review and data access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Asset monitoring, KPI, alarms, reports, performance review and data access"/>
                <w:tag w:val="olyelectra.v2.buyer-requirement.en.lifecycle.monitoring"/>
                <w:id w:val="1448491402"/>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Take-back, recycling, waste classification, producer responsibility and decommissioning plan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Take-back, recycling, waste classification, producer responsibility and decommissioning plan"/>
                <w:tag w:val="olyelectra.v2.buyer-requirement.en.lifecycle.circularity"/>
                <w:id w:val="1015855215"/>
                <w:text w:multiLine="1"/>
                <w:showingPlcHdr/>
              </w:sdtPr>
              <w:sdtContent>
                <w:r>
                  <w:rPr>
                    <w:color w:val="667985"/>
                    <w:i/>
                    <w:sz w:val="18"/>
                    <w:lang w:val="en-GB" w:eastAsia="en-GB" w:bidi="en-GB"/>
                  </w:rPr>
                  <w:t xml:space="preserve">Click or tap to enter a response. State Not applicable where relevant.</w:t>
                </w:r>
              </w:sdtContent>
            </w:sdt>
          </w:p>
        </w:tc>
      </w:tr>
    </w:tbl>
    <w:p>
      <w:pPr>
        <w:pStyle w:val="Heading1"/>
        <w:keepNext/>
        <w:spacing w:before="160" w:after="80" w:line="240" w:lineRule="auto"/>
        <w:jc w:val="left"/>
      </w:pPr>
      <w:r>
        <w:rPr>
          <w:rFonts w:ascii="Arial" w:hAnsi="Arial" w:eastAsia="Arial" w:cs="Arial"/>
          <w:b/>
          <w:color w:val="166534"/>
          <w:sz w:val="25"/>
          <w:lang w:val="en-GB" w:eastAsia="en-GB" w:bidi="en-GB"/>
        </w:rPr>
        <w:t>Declaration and authorised sign-off</w:t>
      </w:r>
    </w:p>
    <w:tbl>
      <w:tblPr>
        <w:tblW w:type="dxa" w:w="10106"/>
        <w:jc w:val="center"/>
        <w:tblLayout w:type="fixed"/>
        <w:tblLook w:firstColumn="1" w:firstRow="1" w:lastColumn="0" w:lastRow="0" w:noHBand="0" w:noVBand="1" w:val="04A0"/>
        <w:tblInd w:w="120" w:type="dxa"/>
        <w:tblCaption w:val="Declaration and authorised sign-off"/>
        <w:tblDescription w:val="I confirm that the information supplied is complete and accurate to the best of my knowledge, that I am authorised to submit it, and that the organisation will promptly disclose material changes. I understand that submis"/>
      </w:tblPr>
      <w:tblGrid>
        <w:gridCol w:w="10106"/>
      </w:tblGrid>
      <w:tr>
        <w:trPr>
          <w:trHeight w:hRule="atLeast"/>
          <w:tblHeader/>
          <w:cantSplit/>
        </w:trPr>
        <w:tc>
          <w:tcPr>
            <w:tcW w:type="dxa" w:w="10106"/>
            <w:tcMar>
              <w:top w:w="90" w:type="dxa"/>
              <w:start w:w="120" w:type="dxa"/>
              <w:bottom w:w="90" w:type="dxa"/>
              <w:end w:w="120" w:type="dxa"/>
            </w:tcMar>
            <w:vAlign w:val="center"/>
            <w:shd w:fill="0A2B3C" w:val="clear"/>
          </w:tcPr>
          <w:p>
            <w:pPr>
              <w:keepNext/>
              <w:spacing w:before="0" w:after="0" w:line="240" w:lineRule="auto"/>
              <w:jc w:val="left"/>
            </w:pPr>
            <w:r/>
            <w:r>
              <w:rPr>
                <w:rFonts w:ascii="Arial" w:hAnsi="Arial" w:eastAsia="Arial" w:cs="Arial"/>
                <w:b/>
                <w:i w:val="0"/>
                <w:color w:val="FFFFFF"/>
                <w:sz w:val="18"/>
                <w:lang w:val="en-GB" w:eastAsia="en-GB" w:bidi="en-GB"/>
              </w:rPr>
              <w:t>Declaration and authorised sign-off</w:t>
            </w:r>
          </w:p>
        </w:tc>
      </w:tr>
      <w:tr>
        <w:trPr>
          <w:trHeight w:hRule="atLeast"/>
          <w:cantSplit/>
        </w:trPr>
        <w:tc>
          <w:tcPr>
            <w:tcW w:type="dxa" w:w="10106"/>
            <w:tcMar>
              <w:top w:w="90" w:type="dxa"/>
              <w:start w:w="120" w:type="dxa"/>
              <w:bottom w:w="90" w:type="dxa"/>
              <w:end w:w="120" w:type="dxa"/>
            </w:tcMar>
            <w:vAlign w:val="center"/>
            <w:shd w:fill="ECFDF3" w:val="clear"/>
          </w:tcPr>
          <w:p>
            <w:pPr>
              <w:keepNext/>
              <w:spacing w:before="0" w:after="0" w:line="252" w:lineRule="auto"/>
              <w:jc w:val="left"/>
            </w:pPr>
            <w:r/>
            <w:r>
              <w:rPr>
                <w:rFonts w:ascii="Arial" w:hAnsi="Arial" w:eastAsia="Arial" w:cs="Arial"/>
                <w:color w:val="102334"/>
                <w:sz w:val="17"/>
                <w:lang w:val="en-GB" w:eastAsia="en-GB" w:bidi="en-GB"/>
              </w:rPr>
              <w:t>I confirm that the information supplied is complete and accurate to the best of my knowledge, that I am authorised to submit it, and that the organisation will promptly disclose material changes. I understand that submission does not create approval, appointment, confidentiality, availability, exclusivity, certification, project feasibility or an obligation to transact.</w:t>
            </w:r>
          </w:p>
        </w:tc>
      </w:tr>
    </w:tbl>
    <w:tbl>
      <w:tblPr>
        <w:tblW w:type="dxa" w:w="10106"/>
        <w:jc w:val="center"/>
        <w:tblLayout w:type="fixed"/>
        <w:tblLook w:firstColumn="1" w:firstRow="1" w:lastColumn="0" w:lastRow="0" w:noHBand="0" w:noVBand="1" w:val="04A0"/>
        <w:tblInd w:w="120" w:type="dxa"/>
        <w:tblCaption w:val="Declaration and authorised sign-off"/>
        <w:tblDescription w:val="Declaration and authorised sign-off: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Information requested</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Response / evidence reference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Authorised declarant: full name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Authorised declarant: full name"/>
                <w:tag w:val="olyelectra.v2.buyer-requirement.en.declaration.declaration_name"/>
                <w:id w:val="585636639"/>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Position and organisation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osition and organisation"/>
                <w:tag w:val="olyelectra.v2.buyer-requirement.en.declaration.declaration_title"/>
                <w:id w:val="1465943267"/>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Basis of authority to submit this form</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Basis of authority to submit this form"/>
                <w:tag w:val="olyelectra.v2.buyer-requirement.en.declaration.declaration_basis"/>
                <w:id w:val="80779415"/>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Signature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Signature"/>
                <w:tag w:val="olyelectra.v2.buyer-requirement.en.declaration.signature"/>
                <w:id w:val="985235376"/>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Date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Date"/>
                <w:tag w:val="olyelectra.v2.buyer-requirement.en.declaration.date"/>
                <w:id w:val="1931513586"/>
                <w:text w:multiLine="1"/>
                <w:showingPlcHdr/>
              </w:sdtPr>
              <w:sdtContent>
                <w:r>
                  <w:rPr>
                    <w:color w:val="667985"/>
                    <w:i/>
                    <w:sz w:val="18"/>
                    <w:lang w:val="en-GB" w:eastAsia="en-GB" w:bidi="en-GB"/>
                  </w:rPr>
                  <w:t xml:space="preserve">Click or tap to enter a response. State Not applicable where relevant.</w:t>
                </w:r>
              </w:sdtContent>
            </w:sdt>
          </w:p>
        </w:tc>
      </w:tr>
    </w:tbl>
    <w:sectPr>
      <w:headerReference w:type="default" r:id="rId9"/>
      <w:footerReference w:type="default" r:id="rId10"/>
      <w:pgSz w:w="11906" w:h="16838"/>
      <w:pgMar w:top="980" w:right="900" w:bottom="950" w:left="900" w:header="350" w:footer="34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dxa" w:w="10106"/>
      <w:jc w:val="center"/>
      <w:tblLayout w:type="fixed"/>
      <w:tblLook w:firstColumn="1" w:firstRow="1" w:lastColumn="0" w:lastRow="0" w:noHBand="0" w:noVBand="1" w:val="04A0"/>
      <w:tblInd w:w="120" w:type="dxa"/>
      <w:tblCaption w:val="Controlled-form footer"/>
      <w:tblDescription w:val="Document code, status, version and page number."/>
    </w:tblPr>
    <w:tblGrid>
      <w:gridCol w:w="3350"/>
      <w:gridCol w:w="4050"/>
      <w:gridCol w:w="2706"/>
    </w:tblGrid>
    <w:tr>
      <w:trPr>
        <w:trHeight w:hRule="atLeast"/>
        <w:tblHeader/>
        <w:cantSplit/>
      </w:trPr>
      <w:tc>
        <w:tcPr>
          <w:tcW w:type="dxa" w:w="3350"/>
          <w:tcMar>
            <w:top w:w="55" w:type="dxa"/>
            <w:start w:w="90" w:type="dxa"/>
            <w:bottom w:w="55" w:type="dxa"/>
            <w:end w:w="90" w:type="dxa"/>
          </w:tcMar>
          <w:vAlign w:val="center"/>
          <w:shd w:fill="F3F6F8" w:val="clear"/>
        </w:tcPr>
        <w:p>
          <w:pPr>
            <w:spacing w:before="0" w:after="0" w:line="240" w:lineRule="auto"/>
            <w:jc w:val="left"/>
          </w:pPr>
          <w:r/>
          <w:r>
            <w:rPr>
              <w:rFonts w:ascii="Arial" w:hAnsi="Arial" w:eastAsia="Arial" w:cs="Arial"/>
              <w:b/>
              <w:i w:val="0"/>
              <w:color w:val="051C2B"/>
              <w:sz w:val="15"/>
              <w:lang w:val="en-GB" w:eastAsia="en-GB" w:bidi="en-GB"/>
            </w:rPr>
            <w:t>OLYE-FRM-RPR-001 · V2.0</w:t>
          </w:r>
        </w:p>
      </w:tc>
      <w:tc>
        <w:tcPr>
          <w:tcW w:type="dxa" w:w="4050"/>
          <w:tcMar>
            <w:top w:w="55" w:type="dxa"/>
            <w:start w:w="90" w:type="dxa"/>
            <w:bottom w:w="55" w:type="dxa"/>
            <w:end w:w="90" w:type="dxa"/>
          </w:tcMar>
          <w:vAlign w:val="center"/>
          <w:shd w:fill="F3F6F8" w:val="clear"/>
        </w:tcPr>
        <w:p>
          <w:pPr>
            <w:spacing w:before="0" w:after="0" w:line="240" w:lineRule="auto"/>
            <w:jc w:val="center"/>
          </w:pPr>
          <w:r/>
          <w:r>
            <w:rPr>
              <w:rFonts w:ascii="Arial" w:hAnsi="Arial" w:eastAsia="Arial" w:cs="Arial"/>
              <w:b w:val="0"/>
              <w:i w:val="0"/>
              <w:color w:val="526577"/>
              <w:sz w:val="14"/>
              <w:lang w:val="en-GB" w:eastAsia="en-GB" w:bidi="en-GB"/>
            </w:rPr>
            <w:t>Controlled business form when viewed electronically</w:t>
          </w:r>
        </w:p>
      </w:tc>
      <w:tc>
        <w:tcPr>
          <w:tcW w:type="dxa" w:w="2706"/>
          <w:tcMar>
            <w:top w:w="55" w:type="dxa"/>
            <w:start w:w="90" w:type="dxa"/>
            <w:bottom w:w="55" w:type="dxa"/>
            <w:end w:w="90" w:type="dxa"/>
          </w:tcMar>
          <w:vAlign w:val="center"/>
          <w:shd w:fill="F3F6F8" w:val="clear"/>
        </w:tcPr>
        <w:p>
          <w:pPr>
            <w:spacing w:before="0" w:after="0" w:line="247" w:lineRule="auto"/>
            <w:jc w:val="right"/>
          </w:pPr>
          <w:r>
            <w:rPr>
              <w:rFonts w:ascii="Arial" w:hAnsi="Arial" w:eastAsia="Arial" w:cs="Arial"/>
              <w:b/>
              <w:color w:val="051C2B"/>
              <w:sz w:val="15"/>
              <w:lang w:val="en-GB" w:eastAsia="en-GB" w:bidi="en-GB"/>
            </w:rPr>
            <w:t xml:space="preserve">Page </w:t>
          </w:r>
          <w:r>
            <w:rPr>
              <w:rFonts w:ascii="Arial" w:hAnsi="Arial" w:eastAsia="Arial" w:cs="Arial"/>
              <w:color w:val="526577"/>
              <w:sz w:val="16"/>
              <w:lang w:val="en-GB" w:eastAsia="en-GB" w:bidi="en-GB"/>
            </w:rPr>
            <w:fldChar w:fldCharType="begin"/>
          </w:r>
          <w:r>
            <w:rPr>
              <w:rFonts w:ascii="Arial" w:hAnsi="Arial" w:eastAsia="Arial" w:cs="Arial"/>
              <w:color w:val="526577"/>
              <w:sz w:val="16"/>
              <w:lang w:val="en-GB" w:eastAsia="en-GB" w:bidi="en-GB"/>
            </w:rPr>
            <w:instrText xml:space="preserve">PAGE</w:instrText>
          </w:r>
          <w:r>
            <w:rPr>
              <w:rFonts w:ascii="Arial" w:hAnsi="Arial" w:eastAsia="Arial" w:cs="Arial"/>
              <w:color w:val="526577"/>
              <w:sz w:val="16"/>
              <w:lang w:val="en-GB" w:eastAsia="en-GB" w:bidi="en-GB"/>
            </w:rPr>
            <w:fldChar w:fldCharType="separate"/>
          </w:r>
          <w:r>
            <w:rPr>
              <w:rFonts w:ascii="Arial" w:hAnsi="Arial" w:eastAsia="Arial" w:cs="Arial"/>
              <w:color w:val="526577"/>
              <w:sz w:val="16"/>
              <w:lang w:val="en-GB" w:eastAsia="en-GB" w:bidi="en-GB"/>
            </w:rPr>
            <w:instrText xml:space="preserve">1</w:instrText>
          </w:r>
          <w:r>
            <w:rPr>
              <w:rFonts w:ascii="Arial" w:hAnsi="Arial" w:eastAsia="Arial" w:cs="Arial"/>
              <w:color w:val="526577"/>
              <w:sz w:val="16"/>
              <w:lang w:val="en-GB" w:eastAsia="en-GB" w:bidi="en-GB"/>
            </w:rPr>
            <w:fldChar w:fldCharType="end"/>
          </w:r>
          <w:r>
            <w:rPr>
              <w:rFonts w:ascii="Arial" w:hAnsi="Arial" w:eastAsia="Arial" w:cs="Arial"/>
              <w:color w:val="526577"/>
              <w:sz w:val="15"/>
              <w:lang w:val="en-GB" w:eastAsia="en-GB" w:bidi="en-GB"/>
            </w:rPr>
            <w:t xml:space="preserve"> / </w:t>
          </w:r>
          <w:r>
            <w:rPr>
              <w:rFonts w:ascii="Arial" w:hAnsi="Arial" w:eastAsia="Arial" w:cs="Arial"/>
              <w:color w:val="526577"/>
              <w:sz w:val="16"/>
              <w:lang w:val="en-GB" w:eastAsia="en-GB" w:bidi="en-GB"/>
            </w:rPr>
            <w:fldChar w:fldCharType="begin"/>
          </w:r>
          <w:r>
            <w:rPr>
              <w:rFonts w:ascii="Arial" w:hAnsi="Arial" w:eastAsia="Arial" w:cs="Arial"/>
              <w:color w:val="526577"/>
              <w:sz w:val="16"/>
              <w:lang w:val="en-GB" w:eastAsia="en-GB" w:bidi="en-GB"/>
            </w:rPr>
            <w:instrText xml:space="preserve">NUMPAGES</w:instrText>
          </w:r>
          <w:r>
            <w:rPr>
              <w:rFonts w:ascii="Arial" w:hAnsi="Arial" w:eastAsia="Arial" w:cs="Arial"/>
              <w:color w:val="526577"/>
              <w:sz w:val="16"/>
              <w:lang w:val="en-GB" w:eastAsia="en-GB" w:bidi="en-GB"/>
            </w:rPr>
            <w:fldChar w:fldCharType="separate"/>
          </w:r>
          <w:r>
            <w:rPr>
              <w:rFonts w:ascii="Arial" w:hAnsi="Arial" w:eastAsia="Arial" w:cs="Arial"/>
              <w:color w:val="526577"/>
              <w:sz w:val="16"/>
              <w:lang w:val="en-GB" w:eastAsia="en-GB" w:bidi="en-GB"/>
            </w:rPr>
            <w:instrText xml:space="preserve">1</w:instrText>
          </w:r>
          <w:r>
            <w:rPr>
              <w:rFonts w:ascii="Arial" w:hAnsi="Arial" w:eastAsia="Arial" w:cs="Arial"/>
              <w:color w:val="526577"/>
              <w:sz w:val="16"/>
              <w:lang w:val="en-GB" w:eastAsia="en-GB" w:bidi="en-GB"/>
            </w:rPr>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dxa" w:w="10106"/>
      <w:jc w:val="center"/>
      <w:tblLayout w:type="fixed"/>
      <w:tblLook w:firstColumn="1" w:firstRow="1" w:lastColumn="0" w:lastRow="0" w:noHBand="0" w:noVBand="1" w:val="04A0"/>
      <w:tblInd w:w="120" w:type="dxa"/>
      <w:tblCaption w:val="OLYELECTRA document header"/>
      <w:tblDescription w:val="OLYELECTRA wordmark and controlled-form identity."/>
    </w:tblPr>
    <w:tblGrid>
      <w:gridCol w:w="4600"/>
      <w:gridCol w:w="5506"/>
    </w:tblGrid>
    <w:tr>
      <w:trPr>
        <w:trHeight w:hRule="atLeast"/>
        <w:tblHeader/>
        <w:cantSplit/>
      </w:trPr>
      <w:tc>
        <w:tcPr>
          <w:tcW w:type="dxa" w:w="4600"/>
          <w:tcMar>
            <w:top w:w="70" w:type="dxa"/>
            <w:start w:w="130" w:type="dxa"/>
            <w:bottom w:w="70" w:type="dxa"/>
            <w:end w:w="130" w:type="dxa"/>
          </w:tcMar>
          <w:vAlign w:val="center"/>
          <w:shd w:fill="051C2B" w:val="clear"/>
        </w:tcPr>
        <w:p>
          <w:pPr>
            <w:spacing w:before="0" w:after="0" w:line="247" w:lineRule="auto"/>
            <w:jc w:val="left"/>
          </w:pPr>
          <w:r>
            <w:drawing>
              <wp:inline xmlns:a="http://schemas.openxmlformats.org/drawingml/2006/main" xmlns:pic="http://schemas.openxmlformats.org/drawingml/2006/picture">
                <wp:extent cx="2057400" cy="411480"/>
                <wp:docPr id="1" name="OLYELECTRA wordmark" descr="OLYELECTRA wordmark"/>
                <wp:cNvGraphicFramePr>
                  <a:graphicFrameLocks noChangeAspect="1"/>
                </wp:cNvGraphicFramePr>
                <a:graphic>
                  <a:graphicData uri="http://schemas.openxmlformats.org/drawingml/2006/picture">
                    <pic:pic>
                      <pic:nvPicPr>
                        <pic:cNvPr id="0" name="olyelectra-logo-dark.png"/>
                        <pic:cNvPicPr/>
                      </pic:nvPicPr>
                      <pic:blipFill>
                        <a:blip r:embed="rId1"/>
                        <a:stretch>
                          <a:fillRect/>
                        </a:stretch>
                      </pic:blipFill>
                      <pic:spPr>
                        <a:xfrm>
                          <a:off x="0" y="0"/>
                          <a:ext cx="2057400" cy="411480"/>
                        </a:xfrm>
                        <a:prstGeom prst="rect"/>
                      </pic:spPr>
                    </pic:pic>
                  </a:graphicData>
                </a:graphic>
              </wp:inline>
            </w:drawing>
          </w:r>
        </w:p>
      </w:tc>
      <w:tc>
        <w:tcPr>
          <w:tcW w:type="dxa" w:w="5506"/>
          <w:tcMar>
            <w:top w:w="70" w:type="dxa"/>
            <w:start w:w="130" w:type="dxa"/>
            <w:bottom w:w="70" w:type="dxa"/>
            <w:end w:w="130" w:type="dxa"/>
          </w:tcMar>
          <w:vAlign w:val="center"/>
          <w:shd w:fill="051C2B" w:val="clear"/>
        </w:tcPr>
        <w:p>
          <w:pPr>
            <w:spacing w:before="0" w:after="0" w:line="247" w:lineRule="auto"/>
            <w:jc w:val="right"/>
          </w:pPr>
          <w:r>
            <w:rPr>
              <w:rFonts w:ascii="Arial" w:hAnsi="Arial" w:eastAsia="Arial" w:cs="Arial"/>
              <w:b/>
              <w:color w:val="FFFFFF"/>
              <w:sz w:val="16"/>
              <w:lang w:val="en-GB" w:eastAsia="en-GB" w:bidi="en-GB"/>
            </w:rPr>
            <w:t>RENEWABLE ENERGY, STORAGE &amp; ELECTRIFICATION</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GB" w:eastAsia="en-GB" w:bidi="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50" w:lineRule="auto"/>
    </w:pPr>
    <w:rPr>
      <w:rFonts w:ascii="Arial" w:hAnsi="Arial" w:eastAsia="Arial" w:cs="Arial"/>
      <w:color w:val="102334"/>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cs="Arial"/>
      <w:b/>
      <w:bCs/>
      <w:color w:val="166534"/>
      <w:sz w:val="25"/>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cs="Arial"/>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cs="Arial"/>
      <w:b/>
      <w:color w:val="051C2B"/>
      <w:spacing w:val="5"/>
      <w:kern w:val="28"/>
      <w:sz w:val="4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rial" w:hAnsi="Arial" w:eastAsia="Arial" w:cs="Arial"/>
      <w:i/>
      <w:iCs/>
      <w:color w:val="526577"/>
      <w:spacing w:val="15"/>
      <w:sz w:val="20"/>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olyvenra.com/?lang=en&amp;legal=priv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Renewable Project Requirement Form</dc:title>
  <dc:subject>Structured intake for renewable generation, storage, grid and electrification programmes</dc:subject>
  <dc:creator/>
  <cp:keywords>OLYELECTRA, renewable energy, energy storage, grid, due diligence, document control</cp:keywords>
  <dc:description>Controlled OLYELECTRA form OLYE-FRM-RPR-001 V2.0.</dc:description>
  <cp:lastModifiedBy/>
  <cp:revision>1</cp:revision>
  <dcterms:created xsi:type="dcterms:W3CDTF">2013-12-23T23:15:00Z</dcterms:created>
  <dcterms:modified xsi:type="dcterms:W3CDTF">2013-12-23T23:15:00Z</dcterms:modified>
  <cp:category/>
</cp:coreProperties>
</file>