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right"/>
        <w:bidi/>
      </w:pPr>
      <w:r>
        <w:rPr>
          <w:rFonts w:ascii="Arial" w:hAnsi="Arial" w:eastAsia="Arial" w:cs="Arial"/>
          <w:b/>
          <w:color w:val="051C2B"/>
          <w:sz w:val="42"/>
          <w:lang w:val="ar" w:eastAsia="ar" w:bidi="ar"/>
        </w:rPr>
        <w:t>نموذج تسجيل مورد وشريك طاقة</w:t>
      </w:r>
    </w:p>
    <w:p>
      <w:pPr>
        <w:pStyle w:val="Subtitle"/>
        <w:spacing w:before="0" w:after="140" w:line="240" w:lineRule="auto"/>
        <w:jc w:val="right"/>
        <w:bidi/>
      </w:pPr>
      <w:r>
        <w:rPr>
          <w:rFonts w:ascii="Arial" w:hAnsi="Arial" w:eastAsia="Arial" w:cs="Arial"/>
          <w:color w:val="526577"/>
          <w:sz w:val="19"/>
          <w:lang w:val="ar" w:eastAsia="ar" w:bidi="ar"/>
        </w:rPr>
        <w:t>المؤهلات القائمة على المخاطر لمصنعي المعدات الأصلية وEPCs والمطورين والمتكاملين ومؤسسات الخدمة</w:t>
      </w:r>
    </w:p>
    <w:tbl>
      <w:tblPr>
        <w:tblW w:type="dxa" w:w="10106"/>
        <w:jc w:val="center"/>
        <w:tblLayout w:type="fixed"/>
        <w:tblLook w:firstColumn="1" w:firstRow="1" w:lastColumn="0" w:lastRow="0" w:noHBand="0" w:noVBand="1" w:val="04A0"/>
        <w:tblInd w:w="120" w:type="dxa"/>
        <w:bidiVisual/>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رمز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OLYE-FRM-ESR-001</w:t>
            </w:r>
          </w:p>
        </w:tc>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الإصدار / تاريخ السريان</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2.0 / 2 أغسطس 2026</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التصنيف</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نموذج أعمال خاضع للضبط</w:t>
            </w:r>
          </w:p>
        </w:tc>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مالك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OLYELECTRA — OLYVENRA LTD</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اللغة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العربية</w:t>
            </w:r>
          </w:p>
        </w:tc>
        <w:tc>
          <w:tcPr>
            <w:tcW w:type="dxa" w:w="2100"/>
            <w:tcMar>
              <w:top w:w="90" w:type="dxa"/>
              <w:start w:w="120" w:type="dxa"/>
              <w:bottom w:w="90" w:type="dxa"/>
              <w:end w:w="120" w:type="dxa"/>
            </w:tcMar>
            <w:vAlign w:val="center"/>
            <w:shd w:fill="ECFDF3" w:val="clear"/>
          </w:tcPr>
          <w:p>
            <w:pPr>
              <w:spacing w:before="0" w:after="0" w:line="240" w:lineRule="auto"/>
              <w:jc w:val="right"/>
              <w:bidi/>
            </w:pPr>
            <w:r/>
            <w:r>
              <w:rPr>
                <w:rFonts w:ascii="Arial" w:hAnsi="Arial" w:eastAsia="Arial" w:cs="Arial"/>
                <w:b/>
                <w:i w:val="0"/>
                <w:color w:val="166534"/>
                <w:sz w:val="16"/>
                <w:lang w:val="ar" w:eastAsia="ar" w:bidi="ar"/>
              </w:rPr>
              <w:t>الحالة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جاهز للنشر / نسخة أصلية خاضعة للضبط</w:t>
            </w:r>
          </w:p>
        </w:tc>
      </w:tr>
    </w:tbl>
    <w:tbl>
      <w:tblPr>
        <w:tblW w:type="dxa" w:w="10106"/>
        <w:jc w:val="center"/>
        <w:tblLayout w:type="fixed"/>
        <w:tblLook w:firstColumn="1" w:firstRow="1" w:lastColumn="0" w:lastRow="0" w:noHBand="0" w:noVBand="1" w:val="04A0"/>
        <w:tblInd w:w="120" w:type="dxa"/>
        <w:bidiVisual/>
        <w:tblCaption w:val="الغرض"/>
        <w:tblDescription w:val="استخدم هذا النموذج للتأهيل الأولي أو التجديد لمورد OLYELECTRA المقترح أو شريك التسليم. لا يشكل التسجيل موافقة أو تمثيلاً أو حصرية أو شهادة أو التزامًا بالشراء. يتناسب عمق المراجعة مع التكنولوجيا والدور والاختصاص القضائي "/>
      </w:tblPr>
      <w:tblGrid>
        <w:gridCol w:w="10106"/>
      </w:tblGrid>
      <w:tr>
        <w:trPr>
          <w:trHeight w:hRule="atLeast"/>
          <w:tblHeader/>
          <w:cantSplit/>
        </w:trPr>
        <w:tc>
          <w:tcPr>
            <w:tcW w:type="dxa" w:w="10106"/>
            <w:tcMar>
              <w:top w:w="90" w:type="dxa"/>
              <w:start w:w="120" w:type="dxa"/>
              <w:bottom w:w="90" w:type="dxa"/>
              <w:end w:w="120" w:type="dxa"/>
            </w:tcMar>
            <w:vAlign w:val="center"/>
            <w:shd w:fill="166534" w:val="clear"/>
          </w:tcPr>
          <w:p>
            <w:pPr>
              <w:spacing w:before="0" w:after="0" w:line="240" w:lineRule="auto"/>
              <w:jc w:val="right"/>
              <w:bidi/>
            </w:pPr>
            <w:r/>
            <w:r>
              <w:rPr>
                <w:rFonts w:ascii="Arial" w:hAnsi="Arial" w:eastAsia="Arial" w:cs="Arial"/>
                <w:b/>
                <w:i w:val="0"/>
                <w:color w:val="FFFFFF"/>
                <w:sz w:val="18"/>
                <w:lang w:val="ar" w:eastAsia="ar" w:bidi="ar"/>
              </w:rPr>
              <w:t>الغرض</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right"/>
              <w:bidi/>
            </w:pPr>
            <w:r/>
            <w:r>
              <w:rPr>
                <w:rFonts w:ascii="Arial" w:hAnsi="Arial" w:eastAsia="Arial" w:cs="Arial"/>
                <w:color w:val="102334"/>
                <w:sz w:val="17"/>
                <w:lang w:val="ar" w:eastAsia="ar" w:bidi="ar"/>
              </w:rPr>
              <w:t>استخدم هذا النموذج للتأهيل الأولي أو التجديد لمورد OLYELECTRA المقترح أو شريك التسليم. لا يشكل التسجيل موافقة أو تمثيلاً أو حصرية أو شهادة أو التزامًا بالشراء. يتناسب عمق المراجعة مع التكنولوجيا والدور والاختصاص القضائي والمشروع وحساسية المعلومات.</w:t>
            </w:r>
          </w:p>
        </w:tc>
      </w:tr>
    </w:tbl>
    <w:tbl>
      <w:tblPr>
        <w:tblW w:type="dxa" w:w="10106"/>
        <w:jc w:val="center"/>
        <w:tblLayout w:type="fixed"/>
        <w:tblLook w:firstColumn="1" w:firstRow="1" w:lastColumn="0" w:lastRow="0" w:noHBand="0" w:noVBand="1" w:val="04A0"/>
        <w:tblInd w:w="120" w:type="dxa"/>
        <w:bidiVisual/>
        <w:tblCaption w:val="تعليمات الإكمال"/>
        <w:tblDescription w:val="يرجى استكمال جميع الحقول المنطبقة، والإشارة إلى الأدلة باسم المستند والجهة المصدرة والرقم والمراجعة والتاريخ. ضع عبارة «لا ينطبق» مع بيان السبب عند الحاجة، وافصل بوضوح بين التقديرات والبيانات المقاسة أو المعتمدة. يجوز لـ"/>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تعليمات الإكمال</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يرجى استكمال جميع الحقول المنطبقة، والإشارة إلى الأدلة باسم المستند والجهة المصدرة والرقم والمراجعة والتاريخ. ضع عبارة «لا ينطبق» مع بيان السبب عند الحاجة، وافصل بوضوح بين التقديرات والبيانات المقاسة أو المعتمدة. يجوز لـ OLYELECTRA طلب إيضاحات أو عناية واجبة معززة أو تبادل المعلومات عبر غرفة بيانات آمنة.</w:t>
            </w:r>
          </w:p>
        </w:tc>
      </w:tr>
    </w:tbl>
    <w:tbl>
      <w:tblPr>
        <w:tblW w:type="dxa" w:w="10106"/>
        <w:jc w:val="center"/>
        <w:tblLayout w:type="fixed"/>
        <w:tblLook w:firstColumn="1" w:firstRow="1" w:lastColumn="0" w:lastRow="0" w:noHBand="0" w:noVBand="1" w:val="04A0"/>
        <w:tblInd w:w="120" w:type="dxa"/>
        <w:bidiVisual/>
        <w:tblCaption w:val="الخصوصية والتعامل الآمن مع الوثائق"/>
        <w:tblDescription w:val="لا ترسل بيانات الدخول أو نماذج الشبكة وإعداداتها التفصيلية أو مخططات البنية التحتية الحرجة أو وثائق الهوية أو البيانات الشخصية المحمية أو المعلومات التجارية المقيدة عبر البريد الإلكتروني العادي أو النموذج العام. اكتفِ بم"/>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الخصوصية والتعامل الآمن مع الوثائق</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لا ترسل بيانات الدخول أو نماذج الشبكة وإعداداتها التفصيلية أو مخططات البنية التحتية الحرجة أو وثائق الهوية أو البيانات الشخصية المحمية أو المعلومات التجارية المقيدة عبر البريد الإلكتروني العادي أو النموذج العام. اكتفِ بمراجع المستندات إلى حين اعتماد القناة الآمنة والمستلمين المخولين.</w:t>
            </w:r>
          </w:p>
          <w:p>
            <w:pPr>
              <w:spacing w:before="60" w:after="0" w:line="240" w:lineRule="auto"/>
              <w:jc w:val="right"/>
              <w:bidi/>
            </w:pPr>
            <w:hyperlink r:id="rId11">
              <w:r>
                <w:rPr>
                  <w:color w:val="166534"/>
                  <w:u w:val="single"/>
                </w:rPr>
                <w:t>اقرأ إشعار الخصوصية لدى OLYVENRA</w:t>
              </w:r>
            </w:hyperlink>
          </w:p>
        </w:tc>
      </w:tr>
    </w:tbl>
    <w:tbl>
      <w:tblPr>
        <w:tblW w:type="dxa" w:w="10106"/>
        <w:jc w:val="center"/>
        <w:tblLayout w:type="fixed"/>
        <w:tblLook w:firstColumn="1" w:firstRow="1" w:lastColumn="0" w:lastRow="0" w:noHBand="0" w:noVBand="1" w:val="04A0"/>
        <w:tblInd w:w="120" w:type="dxa"/>
        <w:bidiVisual/>
        <w:tblCaption w:val="حدود صلاحية المشروع والسلامة والأدلة"/>
        <w:tblDescription w:val="لا يشكل هذا النموذج عرضاً أو اعتماداً هندسياً أو موافقة ربط بالشبكة أو تصريحاً أو شهادة منتج أو ضماناً للإنتاج أو الوفورات أو التزاماً بالتمويل أو مشورة قانونية أو التزاماً بإبرام معاملة. يجب أن تتخذ الأطراف المختصة القر"/>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right"/>
              <w:bidi/>
            </w:pPr>
            <w:r/>
            <w:r>
              <w:rPr>
                <w:rFonts w:ascii="Arial" w:hAnsi="Arial" w:eastAsia="Arial" w:cs="Arial"/>
                <w:b/>
                <w:i w:val="0"/>
                <w:color w:val="FFFFFF"/>
                <w:sz w:val="18"/>
                <w:lang w:val="ar" w:eastAsia="ar" w:bidi="ar"/>
              </w:rPr>
              <w:t>حدود صلاحية المشروع والسلامة والأدلة</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right"/>
              <w:bidi/>
            </w:pPr>
            <w:r/>
            <w:r>
              <w:rPr>
                <w:rFonts w:ascii="Arial" w:hAnsi="Arial" w:eastAsia="Arial" w:cs="Arial"/>
                <w:color w:val="102334"/>
                <w:sz w:val="17"/>
                <w:lang w:val="ar" w:eastAsia="ar" w:bidi="ar"/>
              </w:rPr>
              <w:t>لا يشكل هذا النموذج عرضاً أو اعتماداً هندسياً أو موافقة ربط بالشبكة أو تصريحاً أو شهادة منتج أو ضماناً للإنتاج أو الوفورات أو التزاماً بالتمويل أو مشورة قانونية أو التزاماً بإبرام معاملة. يجب أن تتخذ الأطراف المختصة القرارات استناداً إلى أدلة خاصة بالمشروع.</w:t>
            </w:r>
          </w:p>
        </w:tc>
      </w:tr>
    </w:tbl>
    <w:p>
      <w:pPr>
        <w:pStyle w:val="Heading1"/>
        <w:spacing w:before="160" w:after="80" w:line="240" w:lineRule="auto"/>
        <w:jc w:val="right"/>
        <w:keepNext/>
        <w:bidi/>
      </w:pPr>
      <w:r>
        <w:rPr>
          <w:rFonts w:ascii="Arial" w:hAnsi="Arial" w:eastAsia="Arial" w:cs="Arial"/>
          <w:b/>
          <w:color w:val="166534"/>
          <w:sz w:val="25"/>
          <w:lang w:val="ar" w:eastAsia="ar" w:bidi="ar"/>
        </w:rPr>
        <w:t>الهوية القانونية والملكية ودور التسليم</w:t>
      </w:r>
    </w:p>
    <w:tbl>
      <w:tblPr>
        <w:tblW w:type="dxa" w:w="10106"/>
        <w:jc w:val="center"/>
        <w:tblLayout w:type="fixed"/>
        <w:tblLook w:firstColumn="1" w:firstRow="1" w:lastColumn="0" w:lastRow="0" w:noHBand="0" w:noVBand="1" w:val="04A0"/>
        <w:tblInd w:w="120" w:type="dxa"/>
        <w:bidiVisual/>
        <w:tblCaption w:val="الهوية القانونية والملكية ودور التسليم"/>
        <w:tblDescription w:val="الهوية القانونية والملكية ودور التسليم: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الاسم القانوني الكامل والاسم التجاري ونوع المنظمة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اسم القانوني الكامل والاسم التجاري ونوع المنظمة"/>
                <w:tag w:val="olyelectra.v2.supplier-registration.ar.company.legal_name"/>
                <w:id w:val="137498244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رقم التسجيل والبلد والحالة الضريبية والعنوان المسجل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رقم التسجيل والبلد والحالة الضريبية والعنوان المسجل"/>
                <w:tag w:val="olyelectra.v2.supplier-registration.ar.company.registration"/>
                <w:id w:val="174092510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موقع الشركة والملف الشخصي العام الذي يمكن التحقق منه</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وقع الشركة والملف الشخصي العام الذي يمكن التحقق منه"/>
                <w:tag w:val="olyelectra.v2.supplier-registration.ar.company.website"/>
                <w:id w:val="205092615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جهة الاتصال المعتمدة: الاسم والمسمى الوظيفي والقسم والبريد الإلكتروني والهاتف</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جهة الاتصال المعتمدة: الاسم والمسمى الوظيفي والقسم والبريد الإلكتروني والهاتف"/>
                <w:tag w:val="olyelectra.v2.supplier-registration.ar.company.contact"/>
                <w:id w:val="185396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المالكون المستفيدون النهائيون والنسب المئوية وملكية/سيطرة الحكومة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الكون المستفيدون النهائيون والنسب المئوية وملكية/سيطرة الحكومة"/>
                <w:tag w:val="olyelectra.v2.supplier-registration.ar.company.ownership"/>
                <w:id w:val="169013769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أعضاء مجلس الإدارة والمسؤولون والمفوضون بالتوقيع ومسؤولية الإدارة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أعضاء مجلس الإدارة والمسؤولون والمفوضون بالتوقيع ومسؤولية الإدارة"/>
                <w:tag w:val="olyelectra.v2.supplier-registration.ar.company.directors"/>
                <w:id w:val="8655322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مواقع التسجيل والتصنيع والتجميع والمستودعات والخدمات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واقع التسجيل والتصنيع والتجميع والمستودعات والخدمات"/>
                <w:tag w:val="olyelectra.v2.supplier-registration.ar.company.sites"/>
                <w:id w:val="109206988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نطاق التكنولوجيا والتصنيع وطريق التوريد</w:t>
      </w:r>
    </w:p>
    <w:tbl>
      <w:tblPr>
        <w:tblW w:type="dxa" w:w="10106"/>
        <w:jc w:val="center"/>
        <w:tblLayout w:type="fixed"/>
        <w:tblLook w:firstColumn="1" w:firstRow="1" w:lastColumn="0" w:lastRow="0" w:noHBand="0" w:noVBand="1" w:val="04A0"/>
        <w:tblInd w:w="120" w:type="dxa"/>
        <w:bidiVisual/>
        <w:tblCaption w:val="نطاق التكنولوجيا والتصنيع وطريق التوريد"/>
        <w:tblDescription w:val="نطاق التكنولوجيا والتصنيع وطريق التوريد: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OEM أو المطور أو EPC أو المثبت أو المتكامل أو الموزع أو التشغيل والصيانة أو البرامج أو دور المستشار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OEM أو المطور أو EPC أو المثبت أو المتكامل أو الموزع أو التشغيل والصيانة أو البرامج أو دور المستشار"/>
                <w:tag w:val="olyelectra.v2.supplier-registration.ar.scope.supplier_role"/>
                <w:id w:val="203328941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المناطق المعتمدة ومواعيد القنوات والقيود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ناطق المعتمدة ومواعيد القنوات والقيود"/>
                <w:tag w:val="olyelectra.v2.supplier-registration.ar.scope.territories"/>
                <w:id w:val="115156665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عائلات التكنولوجيا والخدمة والتقييمات والتطبيقات والاستثناءات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عائلات التكنولوجيا والخدمة والتقييمات والتطبيقات والاستثناءات"/>
                <w:tag w:val="olyelectra.v2.supplier-registration.ar.scope.product_scope"/>
                <w:id w:val="187788228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الشركة المصنعة القانونية وموقع التصنيع وبلد المنشأ وطريق التوريد المعتمد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شركة المصنعة القانونية وموقع التصنيع وبلد المنشأ وطريق التوريد المعتمد"/>
                <w:tag w:val="olyelectra.v2.supplier-registration.ar.scope.manufacturer"/>
                <w:id w:val="107547893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عملية التصنيع/التجميع والقدرة والمعدات الحيوية والاستعانة بمصادر خارجية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عملية التصنيع/التجميع والقدرة والمعدات الحيوية والاستعانة بمصادر خارجية"/>
                <w:tag w:val="olyelectra.v2.supplier-registration.ar.scope.manufacturing"/>
                <w:id w:val="205715989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المقاولون من الباطن المهمون وتبعيات OEM وعناصر التحكم في التدفق</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قاولون من الباطن المهمون وتبعيات OEM وعناصر التحكم في التدفق"/>
                <w:tag w:val="olyelectra.v2.supplier-registration.ar.scope.subcontractors"/>
                <w:id w:val="11448972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بلد المنشأ، ورؤية قائمة المواد، وتركيز سلسلة التوريد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بلد المنشأ، ورؤية قائمة المواد، وتركيز سلسلة التوريد"/>
                <w:tag w:val="olyelectra.v2.supplier-registration.ar.scope.origin"/>
                <w:id w:val="26161075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الجودة وأدلة المنتج ومراقبة التكوين</w:t>
      </w:r>
    </w:p>
    <w:tbl>
      <w:tblPr>
        <w:tblW w:type="dxa" w:w="10106"/>
        <w:jc w:val="center"/>
        <w:tblLayout w:type="fixed"/>
        <w:tblLook w:firstColumn="1" w:firstRow="1" w:lastColumn="0" w:lastRow="0" w:noHBand="0" w:noVBand="1" w:val="04A0"/>
        <w:tblInd w:w="120" w:type="dxa"/>
        <w:bidiVisual/>
        <w:tblCaption w:val="الجودة وأدلة المنتج ومراقبة التكوين"/>
        <w:tblDescription w:val="الجودة وأدلة المنتج ومراقبة التكوين: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نطاق نظام إدارة الجودة، والشهادة، وهيئة الإصدار، وتغطية الموقع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نطاق نظام إدارة الجودة، والشهادة، وهيئة الإصدار، وتغطية الموقع"/>
                <w:tag w:val="olyelectra.v2.supplier-registration.ar.quality.qms"/>
                <w:id w:val="152336604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مختبرات الاختبار ونطاق الاعتماد وضوابط التقرير الحالي</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ختبرات الاختبار ونطاق الاعتماد وضوابط التقرير الحالي"/>
                <w:tag w:val="olyelectra.v2.supplier-registration.ar.quality.test_labs"/>
                <w:id w:val="115974818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خط الأساس للمنتج، ومراجعة قائمة مكونات الصنف/البرنامج، وسلطة التصميم، وإخطار التغيير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خط الأساس للمنتج، ومراجعة قائمة مكونات الصنف/البرنامج، وسلطة التصميم، وإخطار التغيير"/>
                <w:tag w:val="olyelectra.v2.supplier-registration.ar.quality.configuration"/>
                <w:id w:val="27507287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علم الأنساب المسلسل والدُفعة والدفعة والمكونات بالإضافة إلى فترة الاحتفاظ بالسجلات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علم الأنساب المسلسل والدُفعة والدفعة والمكونات بالإضافة إلى فترة الاحتفاظ بالسجلات"/>
                <w:tag w:val="olyelectra.v2.supplier-registration.ar.quality.traceability"/>
                <w:id w:val="145759163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عدم المطابقة، والامتياز/الانحراف، وCAPA، وعملية إخطار العميل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عدم المطابقة، والامتياز/الانحراف، وCAPA، وعملية إخطار العميل"/>
                <w:tag w:val="olyelectra.v2.supplier-registration.ar.quality.nonconformance"/>
                <w:id w:val="60676222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الشكوى، وحادث السلامة، والعمل الميداني، وعملية الاستدعاء والإخطار التنظيمي</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شكوى، وحادث السلامة، والعمل الميداني، وعملية الاستدعاء والإخطار التنظيمي"/>
                <w:tag w:val="olyelectra.v2.supplier-registration.ar.quality.complaints"/>
                <w:id w:val="33824394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المعايير/الأكواد الخاصة بالعقد والولاية القضائية والمنتج والإصدارات المطلوبة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عايير/الأكواد الخاصة بالعقد والولاية القضائية والمنتج والإصدارات المطلوبة"/>
                <w:tag w:val="olyelectra.v2.supplier-registration.ar.quality.standards"/>
                <w:id w:val="72851028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تقارير/شهادات النوع الحالي والسلامة والأداء والبيئة والمطابقة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تقارير/شهادات النوع الحالي والسلامة والأداء والبيئة والمطابقة"/>
                <w:tag w:val="olyelectra.v2.supplier-registration.ar.quality.reports"/>
                <w:id w:val="186226056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الأداء والضمان والأدلة المرجعية للمشروع</w:t>
      </w:r>
    </w:p>
    <w:tbl>
      <w:tblPr>
        <w:tblW w:type="dxa" w:w="10106"/>
        <w:jc w:val="center"/>
        <w:tblLayout w:type="fixed"/>
        <w:tblLook w:firstColumn="1" w:firstRow="1" w:lastColumn="0" w:lastRow="0" w:noHBand="0" w:noVBand="1" w:val="04A0"/>
        <w:tblInd w:w="120" w:type="dxa"/>
        <w:bidiVisual/>
        <w:tblCaption w:val="الأداء والضمان والأدلة المرجعية للمشروع"/>
        <w:tblDescription w:val="الأداء والضمان والأدلة المرجعية للمشروع: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الأداء المقدر والمضمون، وشروط الاختبار وأساس التسامح</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أداء المقدر والمضمون، وشروط الاختبار وأساس التسامح"/>
                <w:tag w:val="olyelectra.v2.supplier-registration.ar.performance.performance_data"/>
                <w:id w:val="148096740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افتراضات التدهور والتوافر والإنتاجية/الدورة والزيادة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فتراضات التدهور والتوافر والإنتاجية/الدورة والزيادة"/>
                <w:tag w:val="olyelectra.v2.supplier-registration.ar.performance.degradation"/>
                <w:id w:val="166063221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فترة الضمان، والتفعيل، والاستثناءات، والعلاج، والأمن، وإدارة المطالبات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فترة الضمان، والتفعيل، والاستثناءات، والعلاج، والأمن، وإدارة المطالبات"/>
                <w:tag w:val="olyelectra.v2.supplier-registration.ar.performance.warranty_terms"/>
                <w:id w:val="49663151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مراجع التشغيل القابلة للمقارنة مع النموذج والقدرة والموقع وتاريخ التشغيل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راجع التشغيل القابلة للمقارنة مع النموذج والقدرة والموقع وتاريخ التشغيل"/>
                <w:tag w:val="olyelectra.v2.supplier-registration.ar.performance.reference_projects"/>
                <w:id w:val="154937596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مواقع الخدمة والتوظيف والكفاءة وقطع الغيار وطريق التصعيد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واقع الخدمة والتوظيف والكفاءة وقطع الغيار وطريق التصعيد"/>
                <w:tag w:val="olyelectra.v2.supplier-registration.ar.performance.service_network"/>
                <w:id w:val="148094444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الوضع المالي والتأمين ودعم الوالدين وخبرة المقرض / المهندس المستقل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وضع المالي والتأمين ودعم الوالدين وخبرة المقرض / المهندس المستقل"/>
                <w:tag w:val="olyelectra.v2.supplier-registration.ar.performance.bankability"/>
                <w:id w:val="153504475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الخدمة المحلية وقطع الغيار والتصعيد والدعم عن بعد والقدرة على وقت الاستجابة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خدمة المحلية وقطع الغيار والتصعيد والدعم عن بعد والقدرة على وقت الاستجابة"/>
                <w:tag w:val="olyelectra.v2.supplier-registration.ar.performance.support"/>
                <w:id w:val="194161590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المصادر المسؤولة، والاستدامة، وضوابط دورة الحياة</w:t>
      </w:r>
    </w:p>
    <w:tbl>
      <w:tblPr>
        <w:tblW w:type="dxa" w:w="10106"/>
        <w:jc w:val="center"/>
        <w:tblLayout w:type="fixed"/>
        <w:tblLook w:firstColumn="1" w:firstRow="1" w:lastColumn="0" w:lastRow="0" w:noHBand="0" w:noVBand="1" w:val="04A0"/>
        <w:tblInd w:w="120" w:type="dxa"/>
        <w:bidiVisual/>
        <w:tblCaption w:val="المصادر المسؤولة، والاستدامة، وضوابط دورة الحياة"/>
        <w:tblDescription w:val="المصادر المسؤولة، والاستدامة، وضوابط دورة الحيا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العناية الواجبة بالبطارية/المعادن الحرجة، وتسلسل العهدة، ونهج إدارة المخاطر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عناية الواجبة بالبطارية/المعادن الحرجة، وتسلسل العهدة، ونهج إدارة المخاطر"/>
                <w:tag w:val="olyelectra.v2.supplier-registration.ar.responsibility.minerals"/>
                <w:id w:val="88551676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البصمة الكربونية للمنتج، EPD/LCA أو أدلة ومنهجيات بيئية أخرى</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بصمة الكربونية للمنتج، EPD/LCA أو أدلة ومنهجيات بيئية أخرى"/>
                <w:tag w:val="olyelectra.v2.supplier-registration.ar.responsibility.carbon"/>
                <w:id w:val="114474850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مسؤولية المنتج، والاسترداد، وإعادة التدوير، وضوابط شركاء النفايات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سؤولية المنتج، والاسترداد، وإعادة التدوير، وضوابط شركاء النفايات"/>
                <w:tag w:val="olyelectra.v2.supplier-registration.ar.responsibility.waste"/>
                <w:id w:val="98317140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إدارة سلامة المنتج ومكان العمل وتاريخ الحوادث ودعم الطوارئ</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إدارة سلامة المنتج ومكان العمل وتاريخ الحوادث ودعم الطوارئ"/>
                <w:tag w:val="olyelectra.v2.supplier-registration.ar.responsibility.health_safety"/>
                <w:id w:val="1075086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معايير العمل، والعمل القسري/الأطفال، ورعاية العمال، وضوابط التظلم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عايير العمل، والعمل القسري/الأطفال، ورعاية العمال، وضوابط التظلم"/>
                <w:tag w:val="olyelectra.v2.supplier-registration.ar.responsibility.labour"/>
                <w:id w:val="190345029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العناية الواجبة بحقوق الإنسان، والتظلم، والمعالجة، وعملية التصعيد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عناية الواجبة بحقوق الإنسان، والتظلم، والمعالجة، وعملية التصعيد"/>
                <w:tag w:val="olyelectra.v2.supplier-registration.ar.responsibility.human_rights"/>
                <w:id w:val="72905973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خريطة سلسلة التوريد الحرجة والبلدان والمصادر الفردية وتدابير المرونة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خريطة سلسلة التوريد الحرجة والبلدان والمصادر الفردية وتدابير المرونة"/>
                <w:tag w:val="olyelectra.v2.supplier-registration.ar.responsibility.supply_chain_map"/>
                <w:id w:val="88153164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الاسترداد وإعادة التدوير وتصنيف النفايات ومسؤولية المنتج وخطة وقف التشغيل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استرداد وإعادة التدوير وتصنيف النفايات ومسؤولية المنتج وخطة وقف التشغيل"/>
                <w:tag w:val="olyelectra.v2.supplier-registration.ar.responsibility.circularity"/>
                <w:id w:val="72850733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النزاهة والعقوبات والوضع المالي وأمن المعلومات</w:t>
      </w:r>
    </w:p>
    <w:tbl>
      <w:tblPr>
        <w:tblW w:type="dxa" w:w="10106"/>
        <w:jc w:val="center"/>
        <w:tblLayout w:type="fixed"/>
        <w:tblLook w:firstColumn="1" w:firstRow="1" w:lastColumn="0" w:lastRow="0" w:noHBand="0" w:noVBand="1" w:val="04A0"/>
        <w:tblInd w:w="120" w:type="dxa"/>
        <w:bidiVisual/>
        <w:tblCaption w:val="النزاهة والعقوبات والوضع المالي وأمن المعلومات"/>
        <w:tblDescription w:val="النزاهة والعقوبات والوضع المالي وأمن المعلومات: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العقوبات والحرمان والطرف المقيد وضوابط الامتثال للتصدير/الاستيراد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عقوبات والحرمان والطرف المقيد وضوابط الامتثال للتصدير/الاستيراد"/>
                <w:tag w:val="olyelectra.v2.supplier-registration.ar.integrity.sanctions"/>
                <w:id w:val="153552844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مكافحة الرشوة والهدايا والتسهيلات المالية وضوابط الطرف الثالث</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كافحة الرشوة والهدايا والتسهيلات المالية وضوابط الطرف الثالث"/>
                <w:tag w:val="olyelectra.v2.supplier-registration.ar.integrity.anti_bribery"/>
                <w:id w:val="122152893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الوكلاء والوسطاء والعمولات ورسوم النجاح ومستلمو الدفع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وكلاء والوسطاء والعمولات ورسوم النجاح ومستلمو الدفع"/>
                <w:tag w:val="olyelectra.v2.supplier-registration.ar.integrity.fees"/>
                <w:id w:val="25438065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الصراعات الفعلية أو المحتملة، والعلاقات بين المسؤولين العامين والأطراف ذات الصلة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صراعات الفعلية أو المحتملة، والعلاقات بين المسؤولين العامين والأطراف ذات الصلة"/>
                <w:tag w:val="olyelectra.v2.supplier-registration.ar.integrity.conflicts"/>
                <w:id w:val="28813491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الوضع المالي والإعسار والاستمرارية والمسائل الائتمانية المادية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وضع المالي والإعسار والاستمرارية والمسائل الائتمانية المادية"/>
                <w:tag w:val="olyelectra.v2.supplier-registration.ar.integrity.financial"/>
                <w:id w:val="114268139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الدعاوى القضائية المادية والتحقيقات والإنفاذ والحرمان والوسائط الضارة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دعاوى القضائية المادية والتحقيقات والإنفاذ والحرمان والوسائط الضارة"/>
                <w:tag w:val="olyelectra.v2.supplier-registration.ar.integrity.adverse_media"/>
                <w:id w:val="67594785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إطار عمل أمن المعلومات والحوادث وضوابط بيانات البنية التحتية الحيوية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إطار عمل أمن المعلومات والحوادث وضوابط بيانات البنية التحتية الحيوية"/>
                <w:tag w:val="olyelectra.v2.supplier-registration.ar.integrity.information_security"/>
                <w:id w:val="177949981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متطلبات ملكية البيانات والدول المضيفة والخصوصية والاحتفاظ بها والنقل الآمن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تطلبات ملكية البيانات والدول المضيفة والخصوصية والاحتفاظ بها والنقل الآمن"/>
                <w:tag w:val="olyelectra.v2.supplier-registration.ar.integrity.data"/>
                <w:id w:val="209801648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قائمة التحقق من الأدلة الداعمة</w:t>
      </w:r>
    </w:p>
    <w:tbl>
      <w:tblPr>
        <w:tblW w:type="dxa" w:w="10106"/>
        <w:jc w:val="center"/>
        <w:tblLayout w:type="fixed"/>
        <w:tblLook w:firstColumn="1" w:firstRow="1" w:lastColumn="0" w:lastRow="0" w:noHBand="0" w:noVBand="1" w:val="04A0"/>
        <w:tblInd w:w="120" w:type="dxa"/>
        <w:bidiVisual/>
        <w:tblCaption w:val="قائمة التحقق من الأدلة الداعمة"/>
        <w:tblDescription w:val="قائمة التحقق من الأدلة الداعم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التسجيل والضريبة والعنوان المسجل وإثبات التوقيع المعتمد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سجيل والضريبة والعنوان المسجل وإثبات التوقيع المعتمد"/>
                <w:tag w:val="olyelectra.v2.supplier-registration.ar.evidence.registration_evidence"/>
                <w:id w:val="62912203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مخطط الملكية وأدلة هوية المالك المستفيد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خطط الملكية وأدلة هوية المالك المستفيد"/>
                <w:tag w:val="olyelectra.v2.supplier-registration.ar.evidence.ownership_evidence"/>
                <w:id w:val="57865258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الشهادات وملخصات التدقيق وتقارير الاختبار وأدلة مطابقة المنتج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شهادات وملخصات التدقيق وتقارير الاختبار وأدلة مطابقة المنتج"/>
                <w:tag w:val="olyelectra.v2.supplier-registration.ar.evidence.quality_evidence"/>
                <w:id w:val="181868970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القائمة المرجعية وأدلة القبول وتاريخ الضمان/المطالبة وسجلات الأداء</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قائمة المرجعية وأدلة القبول وتاريخ الضمان/المطالبة وسجلات الأداء"/>
                <w:tag w:val="olyelectra.v2.supplier-registration.ar.evidence.project_evidence"/>
                <w:id w:val="126109886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النزاهة والعقوبات والعمل والاستدامة والتوريد والصحة والسلامة والبيئة والسياسات السيبرانية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نزاهة والعقوبات والعمل والاستدامة والتوريد والصحة والسلامة والبيئة والسياسات السيبرانية"/>
                <w:tag w:val="olyelectra.v2.supplier-registration.ar.evidence.policy_evidence"/>
                <w:id w:val="201898455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شهادات التأمين الحالية والقيود المادية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شهادات التأمين الحالية والقيود المادية"/>
                <w:tag w:val="olyelectra.v2.supplier-registration.ar.evidence.insurance_evidence"/>
                <w:id w:val="56710074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مراجع مشروع التشغيل القابلة للمقارنة والبلد والقدرة والعمر وطريق الاتصال بالعملاء</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راجع مشروع التشغيل القابلة للمقارنة والبلد والقدرة والعمر وطريق الاتصال بالعملاء"/>
                <w:tag w:val="olyelectra.v2.supplier-registration.ar.evidence.references"/>
                <w:id w:val="166088359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166534"/>
          <w:sz w:val="25"/>
          <w:lang w:val="ar" w:eastAsia="ar" w:bidi="ar"/>
        </w:rPr>
        <w:t>الإقرار والتوقيع المعتمد</w:t>
      </w:r>
    </w:p>
    <w:tbl>
      <w:tblPr>
        <w:tblW w:type="dxa" w:w="10106"/>
        <w:jc w:val="center"/>
        <w:tblLayout w:type="fixed"/>
        <w:tblLook w:firstColumn="1" w:firstRow="1" w:lastColumn="0" w:lastRow="0" w:noHBand="0" w:noVBand="1" w:val="04A0"/>
        <w:tblInd w:w="120" w:type="dxa"/>
        <w:bidiVisual/>
        <w:tblCaption w:val="الإقرار والتوقيع المعتمد"/>
        <w:tblDescription w:val="أؤكد أن المعلومات المقدمة كاملة ودقيقة حسب علمي، وأنني مخول بتقديمها، وأن المؤسسة ستفصح فوراً عن أي تغييرات جوهرية. وأفهم أن تقديم النموذج لا ينشئ موافقة أو تعييناً أو سرية أو توافراً أو حصرية أو اعتماداً أو قابلية تنفيذ"/>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keepNext/>
              <w:bidi/>
            </w:pPr>
            <w:r/>
            <w:r>
              <w:rPr>
                <w:rFonts w:ascii="Arial" w:hAnsi="Arial" w:eastAsia="Arial" w:cs="Arial"/>
                <w:b/>
                <w:i w:val="0"/>
                <w:color w:val="FFFFFF"/>
                <w:sz w:val="18"/>
                <w:lang w:val="ar" w:eastAsia="ar" w:bidi="ar"/>
              </w:rPr>
              <w:t>الإقرار والتوقيع المعتمد</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right"/>
              <w:keepNext/>
              <w:bidi/>
            </w:pPr>
            <w:r/>
            <w:r>
              <w:rPr>
                <w:rFonts w:ascii="Arial" w:hAnsi="Arial" w:eastAsia="Arial" w:cs="Arial"/>
                <w:color w:val="102334"/>
                <w:sz w:val="17"/>
                <w:lang w:val="ar" w:eastAsia="ar" w:bidi="ar"/>
              </w:rPr>
              <w:t>أؤكد أن المعلومات المقدمة كاملة ودقيقة حسب علمي، وأنني مخول بتقديمها، وأن المؤسسة ستفصح فوراً عن أي تغييرات جوهرية. وأفهم أن تقديم النموذج لا ينشئ موافقة أو تعييناً أو سرية أو توافراً أو حصرية أو اعتماداً أو قابلية تنفيذ للمشروع أو التزاماً بإبرام معاملة.</w:t>
            </w:r>
          </w:p>
        </w:tc>
      </w:tr>
    </w:tbl>
    <w:tbl>
      <w:tblPr>
        <w:tblW w:type="dxa" w:w="10106"/>
        <w:jc w:val="center"/>
        <w:tblLayout w:type="fixed"/>
        <w:tblLook w:firstColumn="1" w:firstRow="1" w:lastColumn="0" w:lastRow="0" w:noHBand="0" w:noVBand="1" w:val="04A0"/>
        <w:tblInd w:w="120" w:type="dxa"/>
        <w:bidiVisual/>
        <w:tblCaption w:val="الإقرار والتوقيع المعتمد"/>
        <w:tblDescription w:val="الإقرار والتوقيع المعتمد: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المُصرح المعتمد: الاسم الكامل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صرح المعتمد: الاسم الكامل"/>
                <w:tag w:val="olyelectra.v2.supplier-registration.ar.declaration.declaration_name"/>
                <w:id w:val="166101306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الموقف والتنظيم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وقف والتنظيم"/>
                <w:tag w:val="olyelectra.v2.supplier-registration.ar.declaration.declaration_title"/>
                <w:id w:val="105132174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أساس السلطة لتقديم هذا النموذج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أساس السلطة لتقديم هذا النموذج"/>
                <w:tag w:val="olyelectra.v2.supplier-registration.ar.declaration.declaration_basis"/>
                <w:id w:val="132945662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التوقيع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وقيع"/>
                <w:tag w:val="olyelectra.v2.supplier-registration.ar.declaration.signature"/>
                <w:id w:val="84474639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التاريخ</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اريخ"/>
                <w:tag w:val="olyelectra.v2.supplier-registration.ar.declaration.date"/>
                <w:id w:val="195566410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bidiVisual/>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right"/>
            <w:bidi/>
          </w:pPr>
          <w:r/>
          <w:r>
            <w:rPr>
              <w:rFonts w:ascii="Arial" w:hAnsi="Arial" w:eastAsia="Arial" w:cs="Arial"/>
              <w:b/>
              <w:i w:val="0"/>
              <w:color w:val="051C2B"/>
              <w:sz w:val="15"/>
              <w:lang w:val="ar" w:eastAsia="ar" w:bidi="ar"/>
            </w:rPr>
            <w:t>OLYE-FRM-ESR-001 · V2.0</w:t>
          </w:r>
        </w:p>
      </w:tc>
      <w:tc>
        <w:tcPr>
          <w:tcW w:type="dxa" w:w="4050"/>
          <w:tcMar>
            <w:top w:w="55" w:type="dxa"/>
            <w:start w:w="90" w:type="dxa"/>
            <w:bottom w:w="55" w:type="dxa"/>
            <w:end w:w="90" w:type="dxa"/>
          </w:tcMar>
          <w:vAlign w:val="center"/>
          <w:shd w:fill="F3F6F8" w:val="clear"/>
        </w:tcPr>
        <w:p>
          <w:pPr>
            <w:spacing w:before="0" w:after="0" w:line="240" w:lineRule="auto"/>
            <w:jc w:val="center"/>
            <w:bidi/>
          </w:pPr>
          <w:r/>
          <w:r>
            <w:rPr>
              <w:rFonts w:ascii="Arial" w:hAnsi="Arial" w:eastAsia="Arial" w:cs="Arial"/>
              <w:b w:val="0"/>
              <w:i w:val="0"/>
              <w:color w:val="526577"/>
              <w:sz w:val="14"/>
              <w:lang w:val="ar" w:eastAsia="ar" w:bidi="ar"/>
            </w:rPr>
            <w:t>نموذج أعمال خاضع للضبط عند عرضه إلكترونياً</w:t>
          </w:r>
        </w:p>
      </w:tc>
      <w:tc>
        <w:tcPr>
          <w:tcW w:type="dxa" w:w="2706"/>
          <w:tcMar>
            <w:top w:w="55" w:type="dxa"/>
            <w:start w:w="90" w:type="dxa"/>
            <w:bottom w:w="55" w:type="dxa"/>
            <w:end w:w="90" w:type="dxa"/>
          </w:tcMar>
          <w:vAlign w:val="center"/>
          <w:shd w:fill="F3F6F8" w:val="clear"/>
        </w:tcPr>
        <w:p>
          <w:pPr>
            <w:spacing w:before="0" w:after="0" w:line="247" w:lineRule="auto"/>
            <w:jc w:val="left"/>
            <w:bidi/>
          </w:pPr>
          <w:r>
            <w:rPr>
              <w:rFonts w:ascii="Arial" w:hAnsi="Arial" w:eastAsia="Arial" w:cs="Arial"/>
              <w:b/>
              <w:color w:val="051C2B"/>
              <w:sz w:val="15"/>
              <w:lang w:val="ar" w:eastAsia="ar" w:bidi="ar"/>
            </w:rPr>
            <w:t xml:space="preserve">الصفحة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NUMPAGES</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r>
            <w:rPr>
              <w:rFonts w:ascii="Arial" w:hAnsi="Arial" w:eastAsia="Arial" w:cs="Arial"/>
              <w:color w:val="526577"/>
              <w:sz w:val="15"/>
              <w:lang w:val="ar" w:eastAsia="ar" w:bidi="ar"/>
            </w:rPr>
            <w:t xml:space="preserve"> /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PAGE</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bidiVisual/>
      <w:tblCaption w:val="OLYELECTRA document header"/>
      <w:tblDescription w:val="OLYELECTRA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bidi/>
          </w:pPr>
          <w:r>
            <w:drawing>
              <wp:inline xmlns:a="http://schemas.openxmlformats.org/drawingml/2006/main" xmlns:pic="http://schemas.openxmlformats.org/drawingml/2006/picture">
                <wp:extent cx="2057400" cy="411480"/>
                <wp:docPr id="1" name="OLYELECTRA wordmark" descr="OLYELECTRA wordmark"/>
                <wp:cNvGraphicFramePr>
                  <a:graphicFrameLocks noChangeAspect="1"/>
                </wp:cNvGraphicFramePr>
                <a:graphic>
                  <a:graphicData uri="http://schemas.openxmlformats.org/drawingml/2006/picture">
                    <pic:pic>
                      <pic:nvPicPr>
                        <pic:cNvPr id="0" name="olyelectra-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left"/>
            <w:bidi/>
          </w:pPr>
          <w:r>
            <w:rPr>
              <w:rFonts w:ascii="Arial" w:hAnsi="Arial" w:eastAsia="Arial" w:cs="Arial"/>
              <w:b/>
              <w:color w:val="FFFFFF"/>
              <w:sz w:val="16"/>
              <w:lang w:val="ar" w:eastAsia="ar" w:bidi="ar"/>
            </w:rPr>
            <w:t>الطاقة المتجددة والتخزين والكهربة</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ar" w:eastAsia="ar" w:bidi="a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66534"/>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a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تسجيل مورد وشريك طاقة</dc:title>
  <dc:subject>المؤهلات القائمة على المخاطر لمصنعي المعدات الأصلية وEPCs والمطورين والمتكاملين ومؤسسات الخدمة</dc:subject>
  <dc:creator/>
  <cp:keywords>OLYELECTRA, renewable energy, energy storage, grid, due diligence, document control</cp:keywords>
  <dc:description>Controlled OLYELECTRA form OLYE-FRM-ESR-001 V2.0.</dc:description>
  <cp:lastModifiedBy/>
  <cp:revision>1</cp:revision>
  <dcterms:created xsi:type="dcterms:W3CDTF">2013-12-23T23:15:00Z</dcterms:created>
  <dcterms:modified xsi:type="dcterms:W3CDTF">2013-12-23T23:15:00Z</dcterms:modified>
  <cp:category/>
</cp:coreProperties>
</file>